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281" w:rsidRDefault="00197281">
      <w:pPr>
        <w:pStyle w:val="Standard"/>
        <w:rPr>
          <w:sz w:val="32"/>
          <w:szCs w:val="32"/>
        </w:rPr>
      </w:pPr>
    </w:p>
    <w:p w:rsidR="00197281" w:rsidRDefault="005707D2">
      <w:pPr>
        <w:pStyle w:val="Standard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-205200</wp:posOffset>
            </wp:positionH>
            <wp:positionV relativeFrom="paragraph">
              <wp:posOffset>185400</wp:posOffset>
            </wp:positionV>
            <wp:extent cx="907560" cy="1099080"/>
            <wp:effectExtent l="0" t="0" r="6840" b="582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560" cy="1099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5707D2">
      <w:pPr>
        <w:pStyle w:val="Bezodstpw"/>
        <w:jc w:val="center"/>
      </w:pPr>
      <w:r>
        <w:rPr>
          <w:rFonts w:ascii="Times New Roman" w:hAnsi="Times New Roman"/>
          <w:b/>
          <w:color w:val="000080"/>
          <w:sz w:val="28"/>
          <w:szCs w:val="28"/>
          <w:lang w:val="pl-PL"/>
        </w:rPr>
        <w:t>SZKOŁA PODSTAWOWA NR 1 im. OLOFA PALMEGO</w:t>
      </w:r>
    </w:p>
    <w:p w:rsidR="00197281" w:rsidRDefault="005707D2">
      <w:pPr>
        <w:pStyle w:val="Bezodstpw"/>
        <w:jc w:val="center"/>
      </w:pPr>
      <w:r>
        <w:rPr>
          <w:rFonts w:ascii="Times New Roman" w:hAnsi="Times New Roman"/>
          <w:b/>
          <w:color w:val="000080"/>
          <w:sz w:val="28"/>
          <w:szCs w:val="28"/>
          <w:lang w:val="pl-PL"/>
        </w:rPr>
        <w:t>05-420  Józefów,  ul. Mickiewicza 11</w:t>
      </w:r>
    </w:p>
    <w:p w:rsidR="00197281" w:rsidRDefault="005707D2">
      <w:pPr>
        <w:pStyle w:val="Standard"/>
        <w:tabs>
          <w:tab w:val="left" w:pos="5580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237960</wp:posOffset>
                </wp:positionH>
                <wp:positionV relativeFrom="paragraph">
                  <wp:posOffset>72360</wp:posOffset>
                </wp:positionV>
                <wp:extent cx="4572720" cy="0"/>
                <wp:effectExtent l="0" t="0" r="18330" b="19050"/>
                <wp:wrapNone/>
                <wp:docPr id="2" name="Łącznik prostoliniow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720" cy="0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00008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5.7pt" to="378.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" strokecolor="navy" strokeweight=".35mm"/>
            </w:pict>
          </mc:Fallback>
        </mc:AlternateContent>
      </w:r>
      <w:r>
        <w:rPr>
          <w:lang w:val="en-US"/>
        </w:rPr>
        <w:t xml:space="preserve">                                                           </w:t>
      </w:r>
      <w:r>
        <w:rPr>
          <w:lang w:val="en-US"/>
        </w:rPr>
        <w:tab/>
        <w:t xml:space="preserve">                             </w:t>
      </w:r>
    </w:p>
    <w:p w:rsidR="00197281" w:rsidRDefault="00197281">
      <w:pPr>
        <w:pStyle w:val="Standard"/>
        <w:tabs>
          <w:tab w:val="left" w:pos="5580"/>
        </w:tabs>
        <w:jc w:val="center"/>
        <w:rPr>
          <w:lang w:val="en-US"/>
        </w:rPr>
      </w:pPr>
    </w:p>
    <w:p w:rsidR="00197281" w:rsidRDefault="00197281">
      <w:pPr>
        <w:pStyle w:val="Standard"/>
        <w:tabs>
          <w:tab w:val="left" w:pos="5580"/>
        </w:tabs>
        <w:jc w:val="center"/>
        <w:rPr>
          <w:lang w:val="en-US"/>
        </w:rPr>
      </w:pPr>
    </w:p>
    <w:p w:rsidR="00197281" w:rsidRDefault="00197281">
      <w:pPr>
        <w:pStyle w:val="Standard"/>
        <w:tabs>
          <w:tab w:val="left" w:pos="5580"/>
        </w:tabs>
        <w:jc w:val="center"/>
        <w:rPr>
          <w:lang w:val="en-US"/>
        </w:rPr>
      </w:pPr>
    </w:p>
    <w:p w:rsidR="00197281" w:rsidRDefault="00197281">
      <w:pPr>
        <w:pStyle w:val="Standard"/>
        <w:tabs>
          <w:tab w:val="left" w:pos="5580"/>
        </w:tabs>
        <w:jc w:val="center"/>
        <w:rPr>
          <w:lang w:val="en-US"/>
        </w:rPr>
      </w:pPr>
    </w:p>
    <w:p w:rsidR="00197281" w:rsidRDefault="00197281">
      <w:pPr>
        <w:pStyle w:val="Standard"/>
        <w:tabs>
          <w:tab w:val="left" w:pos="5580"/>
        </w:tabs>
        <w:jc w:val="center"/>
        <w:rPr>
          <w:lang w:val="en-US"/>
        </w:rPr>
      </w:pPr>
    </w:p>
    <w:p w:rsidR="00197281" w:rsidRDefault="00197281">
      <w:pPr>
        <w:pStyle w:val="Standard"/>
        <w:tabs>
          <w:tab w:val="left" w:pos="5580"/>
        </w:tabs>
        <w:jc w:val="center"/>
        <w:rPr>
          <w:lang w:val="en-US"/>
        </w:rPr>
      </w:pPr>
    </w:p>
    <w:p w:rsidR="00197281" w:rsidRDefault="00197281">
      <w:pPr>
        <w:pStyle w:val="Standard"/>
        <w:tabs>
          <w:tab w:val="left" w:pos="5580"/>
        </w:tabs>
        <w:jc w:val="center"/>
        <w:rPr>
          <w:lang w:val="en-US"/>
        </w:rPr>
      </w:pPr>
    </w:p>
    <w:p w:rsidR="00197281" w:rsidRDefault="00197281">
      <w:pPr>
        <w:pStyle w:val="Standard"/>
        <w:tabs>
          <w:tab w:val="left" w:pos="5580"/>
        </w:tabs>
        <w:jc w:val="center"/>
        <w:rPr>
          <w:lang w:val="en-US"/>
        </w:rPr>
      </w:pPr>
    </w:p>
    <w:p w:rsidR="00197281" w:rsidRDefault="00197281">
      <w:pPr>
        <w:pStyle w:val="Standard"/>
        <w:tabs>
          <w:tab w:val="left" w:pos="5580"/>
        </w:tabs>
        <w:jc w:val="center"/>
        <w:rPr>
          <w:lang w:val="en-US"/>
        </w:rPr>
      </w:pPr>
    </w:p>
    <w:p w:rsidR="00197281" w:rsidRDefault="00197281">
      <w:pPr>
        <w:pStyle w:val="Standard"/>
        <w:tabs>
          <w:tab w:val="left" w:pos="5580"/>
        </w:tabs>
        <w:jc w:val="center"/>
        <w:rPr>
          <w:lang w:val="en-US"/>
        </w:rPr>
      </w:pPr>
    </w:p>
    <w:p w:rsidR="00197281" w:rsidRDefault="005707D2">
      <w:pPr>
        <w:pStyle w:val="Standard"/>
        <w:tabs>
          <w:tab w:val="left" w:pos="5580"/>
        </w:tabs>
        <w:jc w:val="center"/>
      </w:pPr>
      <w:r>
        <w:rPr>
          <w:sz w:val="48"/>
          <w:szCs w:val="48"/>
        </w:rPr>
        <w:t>Europejski Tydzień Świadomości Dysleksji 2020</w:t>
      </w:r>
    </w:p>
    <w:p w:rsidR="00197281" w:rsidRDefault="005707D2">
      <w:pPr>
        <w:pStyle w:val="Standard"/>
        <w:jc w:val="center"/>
      </w:pPr>
      <w:r>
        <w:rPr>
          <w:b/>
          <w:sz w:val="48"/>
          <w:szCs w:val="48"/>
        </w:rPr>
        <w:t>„</w:t>
      </w:r>
      <w:r>
        <w:rPr>
          <w:b/>
          <w:i/>
          <w:sz w:val="48"/>
          <w:szCs w:val="48"/>
        </w:rPr>
        <w:t xml:space="preserve">Dysleksja inspiruje do  (nie)zwykłych działań”        </w:t>
      </w:r>
    </w:p>
    <w:p w:rsidR="00197281" w:rsidRDefault="005707D2">
      <w:pPr>
        <w:pStyle w:val="Standard"/>
        <w:jc w:val="center"/>
      </w:pPr>
      <w:r>
        <w:rPr>
          <w:i/>
          <w:sz w:val="36"/>
          <w:szCs w:val="36"/>
        </w:rPr>
        <w:t>Fotoreportaż z realizacji działań</w:t>
      </w: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5707D2">
      <w:pPr>
        <w:pStyle w:val="Standard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-515520</wp:posOffset>
            </wp:positionH>
            <wp:positionV relativeFrom="paragraph">
              <wp:posOffset>720</wp:posOffset>
            </wp:positionV>
            <wp:extent cx="6768000" cy="9720000"/>
            <wp:effectExtent l="0" t="0" r="0" b="0"/>
            <wp:wrapSquare wrapText="bothSides"/>
            <wp:docPr id="3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5707D2">
      <w:pPr>
        <w:pStyle w:val="Standard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-476280</wp:posOffset>
            </wp:positionH>
            <wp:positionV relativeFrom="paragraph">
              <wp:posOffset>112320</wp:posOffset>
            </wp:positionV>
            <wp:extent cx="6768000" cy="9720000"/>
            <wp:effectExtent l="0" t="0" r="0" b="0"/>
            <wp:wrapSquare wrapText="bothSides"/>
            <wp:docPr id="4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5707D2">
      <w:pPr>
        <w:pStyle w:val="Standard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-472320</wp:posOffset>
            </wp:positionH>
            <wp:positionV relativeFrom="paragraph">
              <wp:posOffset>720</wp:posOffset>
            </wp:positionV>
            <wp:extent cx="6768000" cy="9720000"/>
            <wp:effectExtent l="0" t="0" r="0" b="0"/>
            <wp:wrapSquare wrapText="bothSides"/>
            <wp:docPr id="5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5707D2">
      <w:pPr>
        <w:pStyle w:val="Standard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-407160</wp:posOffset>
            </wp:positionH>
            <wp:positionV relativeFrom="paragraph">
              <wp:posOffset>3960</wp:posOffset>
            </wp:positionV>
            <wp:extent cx="6768000" cy="9720000"/>
            <wp:effectExtent l="0" t="0" r="0" b="0"/>
            <wp:wrapSquare wrapText="bothSides"/>
            <wp:docPr id="6" name="Obraz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5707D2">
      <w:pPr>
        <w:pStyle w:val="Standard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-427320</wp:posOffset>
            </wp:positionH>
            <wp:positionV relativeFrom="paragraph">
              <wp:posOffset>58320</wp:posOffset>
            </wp:positionV>
            <wp:extent cx="6768000" cy="9720000"/>
            <wp:effectExtent l="0" t="0" r="0" b="0"/>
            <wp:wrapSquare wrapText="bothSides"/>
            <wp:docPr id="7" name="Obra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5707D2">
      <w:pPr>
        <w:pStyle w:val="Standard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-370800</wp:posOffset>
            </wp:positionH>
            <wp:positionV relativeFrom="paragraph">
              <wp:posOffset>720</wp:posOffset>
            </wp:positionV>
            <wp:extent cx="6768000" cy="9720000"/>
            <wp:effectExtent l="0" t="0" r="0" b="0"/>
            <wp:wrapSquare wrapText="bothSides"/>
            <wp:docPr id="8" name="Obraz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5707D2">
      <w:pPr>
        <w:pStyle w:val="Standard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-444960</wp:posOffset>
            </wp:positionH>
            <wp:positionV relativeFrom="paragraph">
              <wp:posOffset>57240</wp:posOffset>
            </wp:positionV>
            <wp:extent cx="6768000" cy="9720000"/>
            <wp:effectExtent l="0" t="0" r="0" b="0"/>
            <wp:wrapSquare wrapText="bothSides"/>
            <wp:docPr id="9" name="Obraz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5707D2">
      <w:pPr>
        <w:pStyle w:val="Standard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-444960</wp:posOffset>
            </wp:positionH>
            <wp:positionV relativeFrom="paragraph">
              <wp:posOffset>-28440</wp:posOffset>
            </wp:positionV>
            <wp:extent cx="6768000" cy="9720000"/>
            <wp:effectExtent l="0" t="0" r="0" b="0"/>
            <wp:wrapSquare wrapText="bothSides"/>
            <wp:docPr id="10" name="Obraz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5707D2">
      <w:pPr>
        <w:pStyle w:val="Standard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-477360</wp:posOffset>
            </wp:positionH>
            <wp:positionV relativeFrom="paragraph">
              <wp:posOffset>91440</wp:posOffset>
            </wp:positionV>
            <wp:extent cx="6768000" cy="9720000"/>
            <wp:effectExtent l="0" t="0" r="0" b="0"/>
            <wp:wrapSquare wrapText="bothSides"/>
            <wp:docPr id="11" name="Obraz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5707D2">
      <w:pPr>
        <w:pStyle w:val="Standard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-466560</wp:posOffset>
            </wp:positionH>
            <wp:positionV relativeFrom="paragraph">
              <wp:posOffset>14040</wp:posOffset>
            </wp:positionV>
            <wp:extent cx="6768000" cy="9720000"/>
            <wp:effectExtent l="0" t="0" r="0" b="0"/>
            <wp:wrapSquare wrapText="bothSides"/>
            <wp:docPr id="12" name="Obraz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5707D2">
      <w:pPr>
        <w:pStyle w:val="Standard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-455760</wp:posOffset>
            </wp:positionH>
            <wp:positionV relativeFrom="paragraph">
              <wp:posOffset>66600</wp:posOffset>
            </wp:positionV>
            <wp:extent cx="6768000" cy="9720000"/>
            <wp:effectExtent l="0" t="0" r="0" b="0"/>
            <wp:wrapSquare wrapText="bothSides"/>
            <wp:docPr id="13" name="Obraz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5707D2" w:rsidRDefault="005707D2" w:rsidP="005707D2">
      <w:pPr>
        <w:rPr>
          <w:b/>
          <w:sz w:val="32"/>
          <w:szCs w:val="32"/>
        </w:rPr>
      </w:pPr>
      <w:r>
        <w:t xml:space="preserve">                                     </w:t>
      </w:r>
      <w:r w:rsidRPr="005707D2">
        <w:rPr>
          <w:b/>
          <w:sz w:val="32"/>
          <w:szCs w:val="32"/>
        </w:rPr>
        <w:t>Działania szkoły podejmowane na rzecz dzieci z dysleksją:</w:t>
      </w:r>
    </w:p>
    <w:p w:rsidR="005707D2" w:rsidRDefault="005707D2" w:rsidP="005707D2">
      <w:pPr>
        <w:rPr>
          <w:b/>
          <w:sz w:val="32"/>
          <w:szCs w:val="32"/>
        </w:rPr>
      </w:pPr>
    </w:p>
    <w:p w:rsidR="005707D2" w:rsidRPr="005707D2" w:rsidRDefault="005707D2" w:rsidP="005707D2">
      <w:pPr>
        <w:rPr>
          <w:b/>
          <w:sz w:val="32"/>
          <w:szCs w:val="32"/>
        </w:rPr>
      </w:pPr>
    </w:p>
    <w:p w:rsidR="005707D2" w:rsidRPr="005707D2" w:rsidRDefault="005707D2" w:rsidP="005707D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5707D2">
        <w:rPr>
          <w:sz w:val="24"/>
          <w:szCs w:val="24"/>
        </w:rPr>
        <w:t>Wyposażenie szkoły w pomoce dydaktyczne, które umożliwiają dzieciom kształtowanie umi</w:t>
      </w:r>
      <w:r w:rsidRPr="005707D2">
        <w:rPr>
          <w:sz w:val="24"/>
          <w:szCs w:val="24"/>
        </w:rPr>
        <w:t>e</w:t>
      </w:r>
      <w:r w:rsidRPr="005707D2">
        <w:rPr>
          <w:sz w:val="24"/>
          <w:szCs w:val="24"/>
        </w:rPr>
        <w:t>jętności logicznego myślenia, wyzwalają w wychowankach kre</w:t>
      </w:r>
      <w:r w:rsidRPr="005707D2">
        <w:rPr>
          <w:sz w:val="24"/>
          <w:szCs w:val="24"/>
        </w:rPr>
        <w:t>a</w:t>
      </w:r>
      <w:r w:rsidRPr="005707D2">
        <w:rPr>
          <w:sz w:val="24"/>
          <w:szCs w:val="24"/>
        </w:rPr>
        <w:t>tywność i pomysłowość:</w:t>
      </w:r>
    </w:p>
    <w:p w:rsidR="005707D2" w:rsidRPr="005707D2" w:rsidRDefault="005707D2" w:rsidP="005707D2">
      <w:pPr>
        <w:pStyle w:val="Akapitzlist"/>
        <w:rPr>
          <w:sz w:val="24"/>
          <w:szCs w:val="24"/>
        </w:rPr>
      </w:pPr>
      <w:r w:rsidRPr="005707D2">
        <w:rPr>
          <w:sz w:val="24"/>
          <w:szCs w:val="24"/>
        </w:rPr>
        <w:t>- „Magiczny dywan” – podłoga interaktywna, zdobywanie  wiedzy i umiejętności poprzez o</w:t>
      </w:r>
      <w:r w:rsidRPr="005707D2">
        <w:rPr>
          <w:sz w:val="24"/>
          <w:szCs w:val="24"/>
        </w:rPr>
        <w:t>d</w:t>
      </w:r>
      <w:r w:rsidRPr="005707D2">
        <w:rPr>
          <w:sz w:val="24"/>
          <w:szCs w:val="24"/>
        </w:rPr>
        <w:t>krywanie, przeżywanie oraz praktyczne i twórcze działanie;</w:t>
      </w:r>
    </w:p>
    <w:p w:rsidR="005707D2" w:rsidRPr="005707D2" w:rsidRDefault="005707D2" w:rsidP="005707D2">
      <w:pPr>
        <w:pStyle w:val="Akapitzlist"/>
        <w:rPr>
          <w:sz w:val="24"/>
          <w:szCs w:val="24"/>
        </w:rPr>
      </w:pPr>
      <w:r w:rsidRPr="005707D2">
        <w:rPr>
          <w:sz w:val="24"/>
          <w:szCs w:val="24"/>
        </w:rPr>
        <w:t>- tablice/monitory  interaktywne – odpowiadające na potrzeby uczniów o różnych stylach uczenia się.</w:t>
      </w:r>
    </w:p>
    <w:p w:rsidR="005707D2" w:rsidRPr="005707D2" w:rsidRDefault="005707D2" w:rsidP="005707D2">
      <w:pPr>
        <w:pStyle w:val="Akapitzlist"/>
        <w:rPr>
          <w:sz w:val="24"/>
          <w:szCs w:val="24"/>
        </w:rPr>
      </w:pPr>
      <w:r w:rsidRPr="005707D2">
        <w:rPr>
          <w:sz w:val="24"/>
          <w:szCs w:val="24"/>
        </w:rPr>
        <w:t>- zestawy gier edukacyjnych usprawniających umiejętności pisania, czytania, ortografii, gram</w:t>
      </w:r>
      <w:r w:rsidRPr="005707D2">
        <w:rPr>
          <w:sz w:val="24"/>
          <w:szCs w:val="24"/>
        </w:rPr>
        <w:t>a</w:t>
      </w:r>
      <w:r w:rsidRPr="005707D2">
        <w:rPr>
          <w:sz w:val="24"/>
          <w:szCs w:val="24"/>
        </w:rPr>
        <w:t>tyki, orientacji przestrzennej, twórczego myślenia;</w:t>
      </w:r>
    </w:p>
    <w:p w:rsidR="005707D2" w:rsidRPr="005707D2" w:rsidRDefault="005707D2" w:rsidP="005707D2">
      <w:pPr>
        <w:pStyle w:val="Akapitzlist"/>
        <w:rPr>
          <w:sz w:val="24"/>
          <w:szCs w:val="24"/>
        </w:rPr>
      </w:pPr>
      <w:r w:rsidRPr="005707D2">
        <w:rPr>
          <w:sz w:val="24"/>
          <w:szCs w:val="24"/>
        </w:rPr>
        <w:t>- wykorzystywanie pakietu edukacyjnego „Ortograffiti” publikacji zalecanej przez Polskie T</w:t>
      </w:r>
      <w:r w:rsidRPr="005707D2">
        <w:rPr>
          <w:sz w:val="24"/>
          <w:szCs w:val="24"/>
        </w:rPr>
        <w:t>o</w:t>
      </w:r>
      <w:r w:rsidRPr="005707D2">
        <w:rPr>
          <w:sz w:val="24"/>
          <w:szCs w:val="24"/>
        </w:rPr>
        <w:t>warzystwo Dysleksji;</w:t>
      </w:r>
    </w:p>
    <w:p w:rsidR="005707D2" w:rsidRPr="005707D2" w:rsidRDefault="005707D2" w:rsidP="005707D2">
      <w:pPr>
        <w:pStyle w:val="Akapitzlist"/>
        <w:rPr>
          <w:sz w:val="24"/>
          <w:szCs w:val="24"/>
        </w:rPr>
      </w:pPr>
    </w:p>
    <w:p w:rsidR="005707D2" w:rsidRPr="005707D2" w:rsidRDefault="005707D2" w:rsidP="005707D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5707D2">
        <w:rPr>
          <w:sz w:val="24"/>
          <w:szCs w:val="24"/>
        </w:rPr>
        <w:t xml:space="preserve">Różnorodne formy PPP dla uczniów:  </w:t>
      </w:r>
    </w:p>
    <w:p w:rsidR="005707D2" w:rsidRPr="005707D2" w:rsidRDefault="005707D2" w:rsidP="005707D2">
      <w:pPr>
        <w:pStyle w:val="Akapitzlist"/>
        <w:rPr>
          <w:i/>
          <w:sz w:val="24"/>
          <w:szCs w:val="24"/>
        </w:rPr>
      </w:pPr>
      <w:r w:rsidRPr="005707D2">
        <w:rPr>
          <w:sz w:val="24"/>
          <w:szCs w:val="24"/>
        </w:rPr>
        <w:t xml:space="preserve">- indywidualizacja procesu dydaktyczno-wychowawczego – udział szkoły w programie </w:t>
      </w:r>
      <w:r w:rsidRPr="005707D2">
        <w:rPr>
          <w:i/>
          <w:sz w:val="24"/>
          <w:szCs w:val="24"/>
        </w:rPr>
        <w:t>Indyw</w:t>
      </w:r>
      <w:r w:rsidRPr="005707D2">
        <w:rPr>
          <w:i/>
          <w:sz w:val="24"/>
          <w:szCs w:val="24"/>
        </w:rPr>
        <w:t>i</w:t>
      </w:r>
      <w:r w:rsidRPr="005707D2">
        <w:rPr>
          <w:i/>
          <w:sz w:val="24"/>
          <w:szCs w:val="24"/>
        </w:rPr>
        <w:t>dualni.pl;</w:t>
      </w:r>
    </w:p>
    <w:p w:rsidR="005707D2" w:rsidRPr="005707D2" w:rsidRDefault="005707D2" w:rsidP="005707D2">
      <w:pPr>
        <w:pStyle w:val="Akapitzlist"/>
        <w:rPr>
          <w:sz w:val="24"/>
          <w:szCs w:val="24"/>
        </w:rPr>
      </w:pPr>
      <w:r w:rsidRPr="005707D2">
        <w:rPr>
          <w:sz w:val="24"/>
          <w:szCs w:val="24"/>
        </w:rPr>
        <w:t>- dostosowywanie wymagań edukacyjnych do możliwości psychofizycznych uczniów, stos</w:t>
      </w:r>
      <w:r w:rsidRPr="005707D2">
        <w:rPr>
          <w:sz w:val="24"/>
          <w:szCs w:val="24"/>
        </w:rPr>
        <w:t>o</w:t>
      </w:r>
      <w:r w:rsidRPr="005707D2">
        <w:rPr>
          <w:sz w:val="24"/>
          <w:szCs w:val="24"/>
        </w:rPr>
        <w:t>wanie się  do zaleceń poradni psychologiczno-pedagogicznej  priorytetem szkoły;</w:t>
      </w:r>
    </w:p>
    <w:p w:rsidR="005707D2" w:rsidRPr="005707D2" w:rsidRDefault="005707D2" w:rsidP="005707D2">
      <w:pPr>
        <w:pStyle w:val="Akapitzlist"/>
        <w:rPr>
          <w:sz w:val="24"/>
          <w:szCs w:val="24"/>
        </w:rPr>
      </w:pPr>
      <w:r w:rsidRPr="005707D2">
        <w:rPr>
          <w:sz w:val="24"/>
          <w:szCs w:val="24"/>
        </w:rPr>
        <w:t>- zajęcia korekcyjno-kompensacyjne z wykorzystaniem aktywnych metod nauczania; zajęcia dydaktyczno-wyrównawcze, rewalidacja, wsparcie dla uczniów przez nauczycieli współorgan</w:t>
      </w:r>
      <w:r w:rsidRPr="005707D2">
        <w:rPr>
          <w:sz w:val="24"/>
          <w:szCs w:val="24"/>
        </w:rPr>
        <w:t>i</w:t>
      </w:r>
      <w:r w:rsidRPr="005707D2">
        <w:rPr>
          <w:sz w:val="24"/>
          <w:szCs w:val="24"/>
        </w:rPr>
        <w:t>zujących kształcenie, konsultacje ze specjalistami szkolnymi.</w:t>
      </w:r>
    </w:p>
    <w:p w:rsidR="005707D2" w:rsidRDefault="005707D2" w:rsidP="005707D2">
      <w:pPr>
        <w:pStyle w:val="Akapitzlist"/>
        <w:rPr>
          <w:sz w:val="24"/>
          <w:szCs w:val="24"/>
        </w:rPr>
      </w:pPr>
      <w:r w:rsidRPr="005707D2">
        <w:rPr>
          <w:sz w:val="24"/>
          <w:szCs w:val="24"/>
        </w:rPr>
        <w:t>-</w:t>
      </w:r>
      <w:bookmarkStart w:id="0" w:name="_GoBack"/>
      <w:bookmarkEnd w:id="0"/>
      <w:r w:rsidRPr="005707D2">
        <w:rPr>
          <w:sz w:val="24"/>
          <w:szCs w:val="24"/>
        </w:rPr>
        <w:t xml:space="preserve"> efektywna współpraca z rodzicami.</w:t>
      </w:r>
    </w:p>
    <w:p w:rsidR="005707D2" w:rsidRDefault="005707D2" w:rsidP="005707D2">
      <w:pPr>
        <w:pStyle w:val="Akapitzlist"/>
        <w:rPr>
          <w:sz w:val="24"/>
          <w:szCs w:val="24"/>
        </w:rPr>
      </w:pPr>
    </w:p>
    <w:p w:rsidR="005707D2" w:rsidRPr="005707D2" w:rsidRDefault="005707D2" w:rsidP="005707D2">
      <w:pPr>
        <w:pStyle w:val="Akapitzlist"/>
        <w:rPr>
          <w:sz w:val="24"/>
          <w:szCs w:val="24"/>
        </w:rPr>
      </w:pPr>
    </w:p>
    <w:p w:rsidR="005707D2" w:rsidRPr="005707D2" w:rsidRDefault="005707D2" w:rsidP="0070504B">
      <w:pPr>
        <w:spacing w:line="276" w:lineRule="auto"/>
        <w:rPr>
          <w:sz w:val="24"/>
          <w:szCs w:val="24"/>
        </w:rPr>
      </w:pPr>
      <w:r w:rsidRPr="005707D2">
        <w:rPr>
          <w:sz w:val="24"/>
          <w:szCs w:val="24"/>
        </w:rPr>
        <w:t>Dzięki  działaniom szkoły uczniowie stają się samodzielni, odpowiedzialni i  osiągają sukcesy   na miarę swoich możliwości. Wszelkie trudności pokonują pod opieką nauczycieli, wychowawców i specjalistów szkolnych.</w:t>
      </w:r>
    </w:p>
    <w:p w:rsidR="005707D2" w:rsidRPr="005707D2" w:rsidRDefault="005707D2" w:rsidP="0070504B">
      <w:pPr>
        <w:spacing w:line="276" w:lineRule="auto"/>
        <w:rPr>
          <w:sz w:val="24"/>
          <w:szCs w:val="24"/>
        </w:rPr>
      </w:pPr>
      <w:r w:rsidRPr="005707D2">
        <w:rPr>
          <w:sz w:val="24"/>
          <w:szCs w:val="24"/>
        </w:rPr>
        <w:t>Dzieci z dysleksją to nie tylko osoby z trudnościami w uczeniu się. Podobnie jak inni mają swoje talenty, pasje, unikalne umiejętności, które nasza szkoła pozwala im odkrywać.</w:t>
      </w: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  <w:rPr>
          <w:b/>
          <w:i/>
          <w:sz w:val="32"/>
          <w:szCs w:val="32"/>
        </w:rPr>
      </w:pPr>
    </w:p>
    <w:p w:rsidR="00197281" w:rsidRDefault="00197281">
      <w:pPr>
        <w:pStyle w:val="Standard"/>
      </w:pPr>
    </w:p>
    <w:sectPr w:rsidR="00197281">
      <w:pgSz w:w="11906" w:h="16838"/>
      <w:pgMar w:top="426" w:right="566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CC1" w:rsidRDefault="00CF5CC1">
      <w:r>
        <w:separator/>
      </w:r>
    </w:p>
  </w:endnote>
  <w:endnote w:type="continuationSeparator" w:id="0">
    <w:p w:rsidR="00CF5CC1" w:rsidRDefault="00CF5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">
    <w:altName w:val="Times New Roman"/>
    <w:charset w:val="00"/>
    <w:family w:val="auto"/>
    <w:pitch w:val="variable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CC1" w:rsidRDefault="00CF5CC1">
      <w:r>
        <w:rPr>
          <w:color w:val="000000"/>
        </w:rPr>
        <w:separator/>
      </w:r>
    </w:p>
  </w:footnote>
  <w:footnote w:type="continuationSeparator" w:id="0">
    <w:p w:rsidR="00CF5CC1" w:rsidRDefault="00CF5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80FD1"/>
    <w:multiLevelType w:val="hybridMultilevel"/>
    <w:tmpl w:val="97BED6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D0913"/>
    <w:multiLevelType w:val="multilevel"/>
    <w:tmpl w:val="845E69FE"/>
    <w:styleLink w:val="NoList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97281"/>
    <w:rsid w:val="00197281"/>
    <w:rsid w:val="005707D2"/>
    <w:rsid w:val="0070504B"/>
    <w:rsid w:val="00CF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F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ezodstpw">
    <w:name w:val="No Spacing"/>
    <w:basedOn w:val="Standard"/>
    <w:pPr>
      <w:spacing w:after="0" w:line="240" w:lineRule="auto"/>
    </w:pPr>
    <w:rPr>
      <w:rFonts w:eastAsia="Times New Roman" w:cs="Times New Roman"/>
      <w:lang w:val="en-US" w:bidi="en-US"/>
    </w:rPr>
  </w:style>
  <w:style w:type="numbering" w:customStyle="1" w:styleId="NoList">
    <w:name w:val="No List"/>
    <w:basedOn w:val="Bezlisty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5707D2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F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ezodstpw">
    <w:name w:val="No Spacing"/>
    <w:basedOn w:val="Standard"/>
    <w:pPr>
      <w:spacing w:after="0" w:line="240" w:lineRule="auto"/>
    </w:pPr>
    <w:rPr>
      <w:rFonts w:eastAsia="Times New Roman" w:cs="Times New Roman"/>
      <w:lang w:val="en-US" w:bidi="en-US"/>
    </w:rPr>
  </w:style>
  <w:style w:type="numbering" w:customStyle="1" w:styleId="NoList">
    <w:name w:val="No List"/>
    <w:basedOn w:val="Bezlisty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5707D2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299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SZKOLA</dc:creator>
  <cp:lastModifiedBy>SZKOLA</cp:lastModifiedBy>
  <cp:revision>1</cp:revision>
  <dcterms:created xsi:type="dcterms:W3CDTF">2020-10-19T09:43:00Z</dcterms:created>
  <dcterms:modified xsi:type="dcterms:W3CDTF">2020-10-20T06:03:00Z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