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5A" w:rsidRDefault="005A58AE" w:rsidP="005B6F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25A">
        <w:rPr>
          <w:rFonts w:ascii="Times New Roman" w:hAnsi="Times New Roman" w:cs="Times New Roman"/>
          <w:b/>
          <w:sz w:val="32"/>
          <w:szCs w:val="32"/>
        </w:rPr>
        <w:t xml:space="preserve">Smernica o hodnotení a klasifikácii žiakov </w:t>
      </w:r>
    </w:p>
    <w:p w:rsidR="007B6173" w:rsidRPr="004B325A" w:rsidRDefault="005A58AE" w:rsidP="004B325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25A">
        <w:rPr>
          <w:rFonts w:ascii="Times New Roman" w:hAnsi="Times New Roman" w:cs="Times New Roman"/>
          <w:b/>
          <w:sz w:val="32"/>
          <w:szCs w:val="32"/>
        </w:rPr>
        <w:t>Katolíckeho gymnázia Štefana Moysesa</w:t>
      </w:r>
    </w:p>
    <w:p w:rsidR="005A58AE" w:rsidRPr="004B325A" w:rsidRDefault="005A58AE" w:rsidP="004B32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8AE" w:rsidRPr="004B325A" w:rsidRDefault="005A58AE" w:rsidP="004B325A">
      <w:pPr>
        <w:pStyle w:val="Zkladntext"/>
        <w:shd w:val="clear" w:color="auto" w:fill="FFFFFF" w:themeFill="background1"/>
        <w:spacing w:line="360" w:lineRule="auto"/>
      </w:pPr>
      <w:r w:rsidRPr="004B325A">
        <w:t xml:space="preserve">Smernica o hodnotení a klasifikácii žiakov Katolíckeho gymnázia Štefana Moysesa slúži pre internú potrebu školy a upravuje postup hodnotenia a klasifikácie žiakov školy, ktorý sa vykonáva v procese výchovy a vzdelávania v súlade so zákonom č. 245/2008 Z. z. o výchove a vzdelávaní (školský zákon) a o zmene a doplnení niektorých zákonov a zákonom č. 596/2003 Z. z. o štátnej správe v školstve a školskej samospráve, vyhláškou MŠ SR č. 65/2015 Z. z., Metodickým pokynom č. 21/2011 na hodnotenie a klasifikáciu žiakov stredných škôl a Metodickým pokynom č. 22/2011 na hodnotenie a klasifikáciu žiakov základných škôl. </w:t>
      </w:r>
      <w:r w:rsidR="004E583C">
        <w:t xml:space="preserve">Hodnotenie žiakov v prípade dištančného vzdelávania prebieha podľa aktuálne platných usmernení MŠVVaŠ.  </w:t>
      </w:r>
    </w:p>
    <w:p w:rsidR="005A58AE" w:rsidRPr="004B325A" w:rsidRDefault="005A58AE" w:rsidP="00660D79">
      <w:pPr>
        <w:pStyle w:val="Zkladntext"/>
        <w:shd w:val="clear" w:color="auto" w:fill="FFFFFF" w:themeFill="background1"/>
        <w:spacing w:line="360" w:lineRule="auto"/>
        <w:rPr>
          <w:lang w:eastAsia="sk-SK"/>
        </w:rPr>
      </w:pPr>
      <w:r w:rsidRPr="004B325A">
        <w:t xml:space="preserve"> </w:t>
      </w:r>
    </w:p>
    <w:p w:rsidR="005A58AE" w:rsidRPr="00660D79" w:rsidRDefault="00660D79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</w:t>
      </w:r>
      <w:r w:rsidR="005A58AE" w:rsidRPr="00660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Všeobecné ustanovenia </w:t>
      </w:r>
    </w:p>
    <w:p w:rsidR="005A58AE" w:rsidRPr="004B325A" w:rsidRDefault="005A58AE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B42" w:rsidRPr="00C978EC" w:rsidRDefault="00660D79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D3B42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žiakov ako nevyhnutná súčasť výchovno-vzdelávacieho procesu má motivačnú, informatívnu, komparatívnu a korekčnú funkciu. </w:t>
      </w:r>
      <w:r w:rsidR="00CD3B42" w:rsidRPr="00660D79">
        <w:rPr>
          <w:rFonts w:ascii="Times New Roman" w:hAnsi="Times New Roman" w:cs="Times New Roman"/>
          <w:sz w:val="24"/>
          <w:szCs w:val="24"/>
          <w:lang w:eastAsia="cs-CZ"/>
        </w:rPr>
        <w:t xml:space="preserve">V danom školskom roku sa vykonáva priebežná a súhrnná klasifikácia žiaka. Priebežná klasifikácia sa uplatňuje pri hodnotení čiastkových výsledkov a prejavov žiaka. </w:t>
      </w:r>
      <w:r w:rsidR="00F81349" w:rsidRPr="00660D79">
        <w:rPr>
          <w:rFonts w:ascii="Times New Roman" w:hAnsi="Times New Roman" w:cs="Times New Roman"/>
          <w:sz w:val="24"/>
          <w:szCs w:val="24"/>
          <w:lang w:eastAsia="cs-CZ"/>
        </w:rPr>
        <w:t xml:space="preserve">Učiteľ vedie evidenciu o každom hodnotení žiaka. </w:t>
      </w:r>
      <w:r w:rsidR="00CD3B42" w:rsidRPr="00660D79">
        <w:rPr>
          <w:rFonts w:ascii="Times New Roman" w:hAnsi="Times New Roman" w:cs="Times New Roman"/>
          <w:sz w:val="24"/>
          <w:szCs w:val="24"/>
          <w:lang w:eastAsia="cs-CZ"/>
        </w:rPr>
        <w:t>Súhrnná klasifikácia sa vykonáva na konci každého polroka.</w:t>
      </w:r>
      <w:r w:rsidR="00C978E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978EC" w:rsidRPr="00C978EC">
        <w:rPr>
          <w:rFonts w:ascii="Times New Roman" w:hAnsi="Times New Roman" w:cs="Times New Roman"/>
          <w:sz w:val="24"/>
          <w:szCs w:val="24"/>
          <w:lang w:eastAsia="cs-CZ"/>
        </w:rPr>
        <w:t>Stupeň prospechu v súhrnnej klasifikácii určuje vyučujúci daného predmetu. Ak daný predmet vyučuje viac pedagógov, určia stupeň prospechu po vzájomnej dohode.</w:t>
      </w:r>
      <w:r w:rsidR="00C978EC">
        <w:rPr>
          <w:rFonts w:ascii="Times New Roman" w:hAnsi="Times New Roman" w:cs="Times New Roman"/>
          <w:sz w:val="24"/>
          <w:szCs w:val="24"/>
          <w:lang w:eastAsia="cs-CZ"/>
        </w:rPr>
        <w:t xml:space="preserve"> Aritmetický</w:t>
      </w:r>
      <w:r w:rsidR="00C978EC" w:rsidRPr="00C978E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978EC">
        <w:rPr>
          <w:rFonts w:ascii="Times New Roman" w:hAnsi="Times New Roman" w:cs="Times New Roman"/>
          <w:sz w:val="24"/>
          <w:szCs w:val="24"/>
          <w:lang w:eastAsia="cs-CZ"/>
        </w:rPr>
        <w:t>priemer priebežnej klasifikácie nie je jediným kritériom stupňa prospechu</w:t>
      </w:r>
      <w:r w:rsidR="005B6FAA">
        <w:rPr>
          <w:rFonts w:ascii="Times New Roman" w:hAnsi="Times New Roman" w:cs="Times New Roman"/>
          <w:sz w:val="24"/>
          <w:szCs w:val="24"/>
          <w:lang w:eastAsia="cs-CZ"/>
        </w:rPr>
        <w:t xml:space="preserve"> na vysvedčení</w:t>
      </w:r>
      <w:r w:rsidR="00C978EC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D3B42" w:rsidRPr="00CD3B42" w:rsidRDefault="00CD3B42" w:rsidP="00CD3B42">
      <w:pPr>
        <w:pStyle w:val="Odsekzoznamu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74AD" w:rsidRPr="00660D79" w:rsidRDefault="00660D79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hodnotenia a klasifikácie žiaka je úroveň dosiahnutých vedomostí, zručností a schopností žiaka podľa učebných osnov</w:t>
      </w:r>
      <w:r w:rsidR="008374AD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vzdelávacích štandardov</w:t>
      </w:r>
      <w:r w:rsidR="008374AD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požiadaviek na rozvoj všeobecných kompetencií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74AD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Zohľadňuje sa tiež usilovnosť, osobnostný rast, rešpektovanie práv iných osôb a ochota spolupracovať.</w:t>
      </w:r>
      <w:r w:rsidR="008374AD" w:rsidRPr="00660D79">
        <w:rPr>
          <w:rFonts w:ascii="Arial" w:hAnsi="Arial" w:cs="Arial"/>
        </w:rPr>
        <w:t xml:space="preserve"> 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Na hodnotenie a klasifikáciu preukázaného výkonu žiaka v príslušnom vyučovacom predmete nesmie mať vplyv správanie žiaka.</w:t>
      </w:r>
      <w:r w:rsidR="00CD3B42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hodnotení sa uplatňuje primeraná náročnosť a pedagogický takt voči žiakovi, jeho výkony sa hodnotia komplexne, berie sa do úvahy vynaložené úsilie žiaka a v plnej miere sa rešpektujú jeho ľudské práva. </w:t>
      </w:r>
    </w:p>
    <w:p w:rsidR="008374AD" w:rsidRPr="008374AD" w:rsidRDefault="008374AD" w:rsidP="008374AD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185" w:rsidRPr="00D21185" w:rsidRDefault="00660D79" w:rsidP="00D21185">
      <w:pPr>
        <w:pStyle w:val="Zkladntext"/>
        <w:shd w:val="clear" w:color="auto" w:fill="FFFFFF" w:themeFill="background1"/>
        <w:spacing w:line="360" w:lineRule="auto"/>
      </w:pPr>
      <w:r>
        <w:rPr>
          <w:lang w:eastAsia="sk-SK"/>
        </w:rPr>
        <w:t xml:space="preserve">3. </w:t>
      </w:r>
      <w:r w:rsidR="005A58AE" w:rsidRPr="00660D79">
        <w:rPr>
          <w:lang w:eastAsia="sk-SK"/>
        </w:rPr>
        <w:t>Triedny učiteľ oznámi žiakom v deň začiatku obdobia školského vyučovania, ktoré predmety sa v súlade so školským vzdelávacím programom klasifikujú a ktoré sa neklasifikujú.</w:t>
      </w:r>
      <w:r w:rsidR="00CD3B42" w:rsidRPr="00CD3B42">
        <w:t xml:space="preserve"> </w:t>
      </w:r>
      <w:r w:rsidR="008374AD" w:rsidRPr="00660D79">
        <w:rPr>
          <w:color w:val="000000"/>
        </w:rPr>
        <w:t xml:space="preserve">O spôsobe hodnotenia jednotlivých vyučovacích predmetov rozhodne riaditeľ školy po prerokovaní v pedagogickej rade. </w:t>
      </w:r>
      <w:r w:rsidR="00CD3B42" w:rsidRPr="00660D79">
        <w:rPr>
          <w:lang w:eastAsia="sk-SK"/>
        </w:rPr>
        <w:t>Predmety, ktoré sa neklasifikujú, sú určené v školskom vzdelávacom programe.</w:t>
      </w:r>
      <w:r w:rsidR="00D21185">
        <w:rPr>
          <w:lang w:eastAsia="sk-SK"/>
        </w:rPr>
        <w:t xml:space="preserve"> </w:t>
      </w:r>
    </w:p>
    <w:p w:rsidR="009C31CB" w:rsidRPr="005A58AE" w:rsidRDefault="009C31CB" w:rsidP="00CD3B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74AD" w:rsidRPr="008374AD" w:rsidRDefault="00660D79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CD3B42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právo vedieť, čo sa bude hodnotiť a akým spôsobom</w:t>
      </w:r>
      <w:r w:rsid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Má právo </w:t>
      </w:r>
      <w:r w:rsidR="00CD3B42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dozvedieť sa výsledok každého hodnotenia a má tiež právo na objektívne hodnotenie. </w:t>
      </w:r>
      <w:r w:rsidR="005A58AE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 učiteľ</w:t>
      </w:r>
      <w:r w:rsidR="008C0A17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A58AE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učitelia jednotlivých predmetov priebežne informuj</w:t>
      </w:r>
      <w:r w:rsidR="008C5652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5A58AE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prospechu a správaní sa žiaka zákonného zástupcu</w:t>
      </w:r>
      <w:r w:rsidR="008C0A17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</w:t>
      </w:r>
      <w:r w:rsidR="00F813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lehotách podľa Metodického pokynu na hodnotenie a klasifikáciu žiakov č. 21/2011 a č. 22/2011</w:t>
      </w:r>
      <w:r w:rsidR="005A58AE" w:rsidRP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D3B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374AD" w:rsidRDefault="008374AD" w:rsidP="008374AD">
      <w:pPr>
        <w:pStyle w:val="Odsekzoznamu"/>
        <w:rPr>
          <w:rFonts w:ascii="Arial" w:hAnsi="Arial" w:cs="Arial"/>
        </w:rPr>
      </w:pPr>
    </w:p>
    <w:p w:rsidR="008C0A17" w:rsidRPr="00660D79" w:rsidRDefault="00660D79" w:rsidP="00660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strednej školy </w:t>
      </w:r>
      <w:r w:rsidR="00780B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 triednym učiteľom 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informuje zákonného zástupcu žiaka</w:t>
      </w:r>
      <w:r w:rsidR="008C5652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A58AE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sa výrazne zhorší prospech alebo správanie žiaka.</w:t>
      </w:r>
    </w:p>
    <w:p w:rsidR="009C31CB" w:rsidRPr="004B325A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660D79" w:rsidRDefault="00660D79" w:rsidP="00660D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8C0A17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Pri hodnotení a klasifikácii žiakov 1. – 4. ročníka osemročného gymnázia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odbor 79 02 J00, </w:t>
      </w:r>
      <w:r w:rsidR="008C0A17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uplatňuje Metodický pokyn </w:t>
      </w:r>
      <w:r w:rsidR="008C0A17" w:rsidRPr="00660D79">
        <w:rPr>
          <w:rFonts w:ascii="Times New Roman" w:hAnsi="Times New Roman" w:cs="Times New Roman"/>
          <w:sz w:val="24"/>
          <w:szCs w:val="24"/>
        </w:rPr>
        <w:t>č. 22/2011 na hodnotenie a klasifikáciu žiakov základných škôl.</w:t>
      </w:r>
    </w:p>
    <w:p w:rsidR="009C31CB" w:rsidRPr="004B325A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17" w:rsidRPr="00660D79" w:rsidRDefault="00660D79" w:rsidP="00660D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0A17" w:rsidRPr="00660D79">
        <w:rPr>
          <w:rFonts w:ascii="Times New Roman" w:hAnsi="Times New Roman" w:cs="Times New Roman"/>
          <w:sz w:val="24"/>
          <w:szCs w:val="24"/>
        </w:rPr>
        <w:t>Pri h</w:t>
      </w:r>
      <w:r w:rsidR="008C0A17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odnotení a klasifikácii žiakov 5. – 8. ročníka osemročného gymnázia a 1. – 4. ročníka štvorročného gymnázia</w:t>
      </w:r>
      <w:r w:rsidR="007B61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odbor 79 02 J00, </w:t>
      </w:r>
      <w:r w:rsidR="008C0A17"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uplatňuje Metodický pokyn </w:t>
      </w:r>
      <w:r w:rsidR="008C0A17" w:rsidRPr="00660D79">
        <w:rPr>
          <w:rFonts w:ascii="Times New Roman" w:hAnsi="Times New Roman" w:cs="Times New Roman"/>
          <w:sz w:val="24"/>
          <w:szCs w:val="24"/>
        </w:rPr>
        <w:t xml:space="preserve">č. 21/2011 na hodnotenie a klasifikáciu žiakov </w:t>
      </w:r>
      <w:r w:rsidR="005B6FAA">
        <w:rPr>
          <w:rFonts w:ascii="Times New Roman" w:hAnsi="Times New Roman" w:cs="Times New Roman"/>
          <w:sz w:val="24"/>
          <w:szCs w:val="24"/>
        </w:rPr>
        <w:t>stredných</w:t>
      </w:r>
      <w:r w:rsidR="008C0A17" w:rsidRPr="00660D79">
        <w:rPr>
          <w:rFonts w:ascii="Times New Roman" w:hAnsi="Times New Roman" w:cs="Times New Roman"/>
          <w:sz w:val="24"/>
          <w:szCs w:val="24"/>
        </w:rPr>
        <w:t xml:space="preserve"> škôl.</w:t>
      </w:r>
    </w:p>
    <w:p w:rsidR="00CD3B42" w:rsidRPr="00CD3B42" w:rsidRDefault="00CD3B42" w:rsidP="00CD3B42">
      <w:pPr>
        <w:pStyle w:val="Odsekzoznamu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42" w:rsidRPr="00527F6C" w:rsidRDefault="00660D79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 </w:t>
      </w:r>
      <w:r w:rsidR="00CD3B42" w:rsidRPr="00527F6C">
        <w:rPr>
          <w:rFonts w:ascii="Times New Roman" w:hAnsi="Times New Roman" w:cs="Times New Roman"/>
          <w:sz w:val="24"/>
          <w:szCs w:val="24"/>
          <w:lang w:eastAsia="cs-CZ"/>
        </w:rPr>
        <w:t xml:space="preserve">Pri hodnotení a klasifikácii žiakov so zdravotným znevýhodnením </w:t>
      </w:r>
      <w:r w:rsidR="00527F6C" w:rsidRPr="00527F6C">
        <w:rPr>
          <w:rFonts w:ascii="Times New Roman" w:hAnsi="Times New Roman" w:cs="Times New Roman"/>
          <w:sz w:val="24"/>
          <w:szCs w:val="24"/>
          <w:lang w:eastAsia="cs-CZ"/>
        </w:rPr>
        <w:t xml:space="preserve">(vývinové poruchy učenia, zdravotné postihnutie) </w:t>
      </w:r>
      <w:r w:rsidR="008C5652">
        <w:rPr>
          <w:rFonts w:ascii="Times New Roman" w:hAnsi="Times New Roman" w:cs="Times New Roman"/>
          <w:sz w:val="24"/>
          <w:szCs w:val="24"/>
          <w:lang w:eastAsia="cs-CZ"/>
        </w:rPr>
        <w:t>sa zohľadňujú</w:t>
      </w:r>
      <w:r w:rsidR="00CD3B42" w:rsidRPr="00527F6C">
        <w:rPr>
          <w:rFonts w:ascii="Times New Roman" w:hAnsi="Times New Roman" w:cs="Times New Roman"/>
          <w:sz w:val="24"/>
          <w:szCs w:val="24"/>
          <w:lang w:eastAsia="cs-CZ"/>
        </w:rPr>
        <w:t xml:space="preserve"> zdrav</w:t>
      </w:r>
      <w:r w:rsidR="008C5652">
        <w:rPr>
          <w:rFonts w:ascii="Times New Roman" w:hAnsi="Times New Roman" w:cs="Times New Roman"/>
          <w:sz w:val="24"/>
          <w:szCs w:val="24"/>
          <w:lang w:eastAsia="cs-CZ"/>
        </w:rPr>
        <w:t xml:space="preserve">otné obmedzenia týchto žiakov, </w:t>
      </w:r>
      <w:r w:rsidR="00CD3B42" w:rsidRPr="00527F6C">
        <w:rPr>
          <w:rFonts w:ascii="Times New Roman" w:hAnsi="Times New Roman" w:cs="Times New Roman"/>
          <w:sz w:val="24"/>
          <w:szCs w:val="24"/>
          <w:lang w:eastAsia="cs-CZ"/>
        </w:rPr>
        <w:t>záver</w:t>
      </w:r>
      <w:r w:rsidR="008C5652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CD3B42" w:rsidRPr="00527F6C">
        <w:rPr>
          <w:rFonts w:ascii="Times New Roman" w:hAnsi="Times New Roman" w:cs="Times New Roman"/>
          <w:sz w:val="24"/>
          <w:szCs w:val="24"/>
          <w:lang w:eastAsia="cs-CZ"/>
        </w:rPr>
        <w:t xml:space="preserve"> a odporúčan</w:t>
      </w:r>
      <w:r w:rsidR="008C5652">
        <w:rPr>
          <w:rFonts w:ascii="Times New Roman" w:hAnsi="Times New Roman" w:cs="Times New Roman"/>
          <w:sz w:val="24"/>
          <w:szCs w:val="24"/>
          <w:lang w:eastAsia="cs-CZ"/>
        </w:rPr>
        <w:t>ia</w:t>
      </w:r>
      <w:r w:rsidR="00CD3B42" w:rsidRPr="00527F6C">
        <w:rPr>
          <w:rFonts w:ascii="Times New Roman" w:hAnsi="Times New Roman" w:cs="Times New Roman"/>
          <w:sz w:val="24"/>
          <w:szCs w:val="24"/>
          <w:lang w:eastAsia="cs-CZ"/>
        </w:rPr>
        <w:t xml:space="preserve"> k hodnoteniu a klasifikácii školských poradenských zariadení (CPPPaP, CŠPP), ako i metodické usmernenia Ministerstva školstva, vedy a výskumu a Štátneho pedagogického ústavu.</w:t>
      </w:r>
    </w:p>
    <w:p w:rsidR="009C31CB" w:rsidRPr="004B325A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CB" w:rsidRPr="008C0A17" w:rsidRDefault="00660D79" w:rsidP="009C3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9C31CB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posledný vyučovací deň prvého polroka </w:t>
      </w:r>
      <w:r w:rsidR="005B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príslušného </w:t>
      </w:r>
      <w:r w:rsidR="009C31CB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školského roka triedny učiteľ vydá žiakovi výpis klasifikácie prospechu a správania žiaka za prvý polrok. Tento výpis nie je verejnou listinou. Vysvedčenie za prvý polrok sa vydáva na zá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klade žiadosti plnoletého žiaka alebo </w:t>
      </w:r>
      <w:r w:rsidR="009C31CB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zákonného zástupcu 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maloletého žiaka</w:t>
      </w:r>
      <w:r w:rsidR="009C31CB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C31CB" w:rsidRPr="008C0A17" w:rsidRDefault="009C31CB" w:rsidP="009C3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31CB" w:rsidRDefault="009C31CB" w:rsidP="009C3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posledný vyučovací deň školského roka sa vydáva žiakom vysvedčenie, ktoré obsahuje hodnotenie a klasifikáciu prospechu a správania žiaka za oba polroky príslušného školského roka. 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poslednom ročníku sa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žiakom vydáva vysvedčenie posledn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vyučovac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eň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začiatkom maturitnej skúšky.</w:t>
      </w:r>
      <w:r w:rsidR="005B6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B6FAA" w:rsidRDefault="005B6FAA" w:rsidP="009C3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6FAA" w:rsidRPr="008C0A17" w:rsidRDefault="005B6FAA" w:rsidP="009C3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Hodnotenie maturitných skúšok prebieha v súlade s vyhláškou Ministerstva školstva č. 318/2008 Z. z. o ukončovaní štúdia na stredných školách</w:t>
      </w:r>
      <w:r w:rsidR="00B351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pokynmi NÚCEM na hodnotenie EČ a PFIČ MS. Po ukončení MS je žiakovi vydané vysvedčenie o maturitnej skúške s dodatkom k vysvedčeniu o maturitnej skúške </w:t>
      </w:r>
      <w:r w:rsidR="00B35162" w:rsidRPr="00B35162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piatich dní od konania poslednej časti maturitnej skúšky</w:t>
      </w:r>
      <w:r w:rsidR="00B351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žiaka v jednotlivých vyučovacích predmetoch sa klasifikuje týmito stupňami: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1 – výborný,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2 – chválitebný,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3 – dobrý,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4 – dostatočný,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5 – nedostatočný.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Správanie žiaka sa klasifikuje týmito stupňami: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1 – veľmi dobré,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2 – uspokojivé,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3 – menej uspokojivé,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4 – neuspokojivé.</w:t>
      </w:r>
    </w:p>
    <w:p w:rsid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1EEF" w:rsidRPr="00441EEF" w:rsidRDefault="00441EEF" w:rsidP="00441EEF">
      <w:pPr>
        <w:pStyle w:val="odsek"/>
        <w:numPr>
          <w:ilvl w:val="0"/>
          <w:numId w:val="0"/>
        </w:numPr>
        <w:tabs>
          <w:tab w:val="clear" w:pos="510"/>
          <w:tab w:val="left" w:pos="540"/>
        </w:tabs>
        <w:spacing w:line="360" w:lineRule="auto"/>
        <w:rPr>
          <w:color w:val="auto"/>
        </w:rPr>
      </w:pPr>
      <w:r>
        <w:rPr>
          <w:color w:val="auto"/>
        </w:rPr>
        <w:t>1</w:t>
      </w:r>
      <w:r w:rsidR="00EB6B65">
        <w:rPr>
          <w:color w:val="auto"/>
        </w:rPr>
        <w:t>4</w:t>
      </w:r>
      <w:r>
        <w:rPr>
          <w:color w:val="auto"/>
        </w:rPr>
        <w:t>. Pri predmetoch, ktoré nie sú klasifikované, sa žiakom</w:t>
      </w:r>
      <w:r w:rsidRPr="00441EEF">
        <w:rPr>
          <w:color w:val="auto"/>
        </w:rPr>
        <w:t xml:space="preserve"> na vysvedčení a v katalógovom liste uvádza namiesto klasifikačného stupňa slovo: </w:t>
      </w:r>
    </w:p>
    <w:p w:rsidR="00441EEF" w:rsidRDefault="00441EEF" w:rsidP="00441EEF">
      <w:pPr>
        <w:pStyle w:val="odsek"/>
        <w:numPr>
          <w:ilvl w:val="2"/>
          <w:numId w:val="17"/>
        </w:numPr>
        <w:tabs>
          <w:tab w:val="clear" w:pos="360"/>
        </w:tabs>
        <w:spacing w:line="360" w:lineRule="auto"/>
        <w:rPr>
          <w:color w:val="auto"/>
        </w:rPr>
      </w:pPr>
      <w:r w:rsidRPr="00441EEF">
        <w:rPr>
          <w:color w:val="auto"/>
        </w:rPr>
        <w:t>absolvoval, ak sa žiak aktívne zúčastňoval na vyučovacom procese daného predmetu alebo ak bol žiak prítomný na vyučovacej hodine, aj keď zo závažných objektívnych dôvodov nepracoval,</w:t>
      </w:r>
    </w:p>
    <w:p w:rsidR="00441EEF" w:rsidRDefault="00441EEF" w:rsidP="00441EEF">
      <w:pPr>
        <w:pStyle w:val="odsek"/>
        <w:numPr>
          <w:ilvl w:val="2"/>
          <w:numId w:val="17"/>
        </w:numPr>
        <w:tabs>
          <w:tab w:val="clear" w:pos="360"/>
        </w:tabs>
        <w:spacing w:line="360" w:lineRule="auto"/>
        <w:rPr>
          <w:color w:val="auto"/>
        </w:rPr>
      </w:pPr>
      <w:r w:rsidRPr="00441EEF">
        <w:rPr>
          <w:color w:val="auto"/>
        </w:rPr>
        <w:t>neabsolvoval, ak žiak zo závažných dôvodov nemohol vykonávať požadované intelektuálne a motorické činnosti, a preto sa na vyučovacom predmete ospravedlnene nezúčastňoval</w:t>
      </w:r>
      <w:r>
        <w:rPr>
          <w:color w:val="auto"/>
        </w:rPr>
        <w:t xml:space="preserve"> (toto ustanovenie sa týka klasifikovaných i neklasifikovaných predmetov)</w:t>
      </w:r>
      <w:r w:rsidRPr="00441EEF">
        <w:rPr>
          <w:color w:val="auto"/>
        </w:rPr>
        <w:t>,</w:t>
      </w:r>
    </w:p>
    <w:p w:rsidR="00441EEF" w:rsidRDefault="00441EEF" w:rsidP="00441EEF">
      <w:pPr>
        <w:pStyle w:val="odsek"/>
        <w:numPr>
          <w:ilvl w:val="2"/>
          <w:numId w:val="17"/>
        </w:numPr>
        <w:tabs>
          <w:tab w:val="clear" w:pos="360"/>
        </w:tabs>
        <w:spacing w:line="360" w:lineRule="auto"/>
        <w:rPr>
          <w:color w:val="auto"/>
        </w:rPr>
      </w:pPr>
      <w:r w:rsidRPr="00441EEF">
        <w:rPr>
          <w:color w:val="auto"/>
        </w:rPr>
        <w:t xml:space="preserve">neabsolvoval, ak žiak na vyučovacej hodine nepracoval, nevie uplatniť svoje vedomosti a zručnosti ani na podnet učiteľa; celkové hodnotenie takého žiaka je neprospel. </w:t>
      </w:r>
    </w:p>
    <w:p w:rsidR="00441EEF" w:rsidRPr="004B325A" w:rsidRDefault="00441EEF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C0A17"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Celkové hodnotenie žiaka sa na konci prvého a druhého 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polroka vyjadruje na vysvedčení slovami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 s vyznamenaním,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 veľmi dobre,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neprospel.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Celkové hodnotenie žiaka na konci prvého a druhého polroku vyjadruje výsledky jeho klasifikácie v povinných vyučovacích predmetoch, ktoré sa klasifikujú, a klasifikáciu jeho správania; nezahŕňa klasifikáciu v nepovinných vyučovacích predmetoch.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prospel s vyznamenaním, ak ani v jednom povinnom vyučovacom predmete nemá stupeň prospechu horší ako chválitebný, priemerný stupeň prospechu z povinných vyučovacích predmetov nemá horší ako 1,5 a jeho správanie je hodnotené ako „veľmi dobré“.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prospel veľmi dobre, ak ani v jednom povinnom vyučovacom predmete nemá stupeň prospechu horší ako dobrý, priemerný stupeň prospechu z povinných vyučovacích predmetov nemá horší ako 2,0 a jeho správanie je hodnotené ako „veľmi dobré“.</w:t>
      </w:r>
    </w:p>
    <w:p w:rsidR="004B325A" w:rsidRPr="004B325A" w:rsidRDefault="004B325A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prospel, ak nemá stupeň prospechu nedostatočný ani v jednom povinnom vyučovacom predmete.</w:t>
      </w:r>
    </w:p>
    <w:p w:rsidR="009C31CB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iak neprospel, ak má z niektorého povinného vyučovacieho predmetu aj po opravnej skúške stupeň prospechu nedostatočný.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4B325A"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Žiak, ktorý bol na konci druhého polroka hodnotený stupňom prospechu nedostatočný z viac ako dvoch povinných vyučovacích predmetov, môže opakovať ročník 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rozhodnutia vydaného riaditeľom školy.</w:t>
      </w:r>
      <w:r w:rsid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riaditeľ takéto rozhodnutie nevydá, bude žiak, </w:t>
      </w:r>
      <w:r w:rsidR="0004551C" w:rsidRP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navštevuje prvý až štvrtý ročník osemročného </w:t>
      </w:r>
      <w:r w:rsid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gymnázia,</w:t>
      </w:r>
      <w:r w:rsidR="0004551C" w:rsidRP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preradený do základnej školy</w:t>
      </w:r>
      <w:r w:rsid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B325A" w:rsidRDefault="004B325A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 opakuje aj žiak, ktorého nebolo možné klasifikovať ani v náhradnom termíne zo závažných objektívnych dôvodov, najmä zdravotných, dlhodobého pobytu v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B325A" w:rsidRDefault="004B325A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nemožno žiaka vyskúšať a klasifikovať v riadnom termíne v prvom polroku, žiak sa za prvý polrok neklasifikuje; riaditeľ školy určí na jeho vyskúšanie a klasifikovanie náhradný termín, a to spravidla tak, aby sa klasifikácia mohla uskutočniť najneskôr do dvoch mesiacov po skončení prvého polroka.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nemožno žiaka vyskúšať a klasifikovať v riadnom termíne v druhom polroku, žiak je skúšaný aj klasifikovaný za toto obdobie spravidla v poslednom týždni augusta a v dňoch určených riaditeľom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C02FD" w:rsidRPr="008C0A17" w:rsidRDefault="001C02FD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B6B6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ktorý má na konci druhého polroka prospech nedostatočný najviac z dvoch povinných vyučovacích predmetov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 základe rozhodnutia riaditeľa školy vykonať z týchto predmetov opravnú skúšku.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opravných skúšok určí riaditeľ školy tak, aby sa opravné skúšky vy</w:t>
      </w:r>
      <w:r w:rsid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>konali najneskôr do 31. augusta príslušného šk. roka. Ž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iakovi, ktorý zo závažných dôvodov nemôže prísť vykonať opravnú skúšku v určenom termíne, možno povoliť vykonanie opravnej skú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šky najneskôr do 15. septembra.</w:t>
      </w:r>
      <w:r w:rsidR="000455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ktorý bez závažných dôvodov nepríde na opravnú skúšku, sa klasifikuje z vyučovacieho predmetu, z ktorého mal vykonať opravnú skúšku, stupňom prospechu nedostatočný.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0A17" w:rsidRPr="008C0A17" w:rsidRDefault="0004551C" w:rsidP="004B32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="009C31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C0A17" w:rsidRPr="008C0A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Komisionálne skúšky</w:t>
      </w: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sa klasifikuje podľa výsledkov komisionálnej skúšky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vykonáva rozdielovú skúšku v stredných školách,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skúšaný v náhradnom termíne,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plnoletý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alebo zákonný zástupca 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maloletého žiaka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 o preskúšanie žiaka,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preskúšanie koná na podnet riaditeľa školy,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vykonáva opravné skúšky,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v štúdiu podľa individuálneho učebného plánu v stredných školách,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oslobodenia žiaka od povinnosti dochádzať do školy,</w:t>
      </w: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plnení osobitného spôsobu školskej dochádzky,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9C31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="000C3CAE">
        <w:rPr>
          <w:rFonts w:ascii="Times New Roman" w:eastAsia="Times New Roman" w:hAnsi="Times New Roman" w:cs="Times New Roman"/>
          <w:sz w:val="24"/>
          <w:szCs w:val="24"/>
          <w:lang w:eastAsia="sk-SK"/>
        </w:rPr>
        <w:t>i individuálnom vzdelávaní.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pre komisionálne skúšky má najmenej troch členov. Komisia sa skladá z predsedu, ktorým je spravidla riaditeľ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alebo ním poverený učiteľ, sk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úšajúceho učiteľa, ktorým je spravidla učiteľ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yučujúci žiaka príslušný vyučovací predmet, a prísediaceho, ktorý spĺňa kvalifikačné predpoklady pre príslušný alebo príbuzný vyučovací predmet. Výsledok komisionálnej skúšky vyhlási predseda komisie verejne v deň konania skúšky. Výsledok každej komisionálnej skúšky je pre klasifikáciu žiaka konečný.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9C31CB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žiak alebo zákonný zástupca žiaka má pochybnosti o správnosti klasifikácie na konci prvého a druhého polroka, môže do troch pracovných dní odo dňa získania výpisu slovného hodnotenia alebo klasifikácie prospechu a správania žiaka za prvý polrok alebo do troch pracovných dní odo dňa vydania vysvedčenia požiadať riaditeľa školy o vykonanie komisionálnej skúšky; ak je vyučujúcim riaditeľ školy, o preskúšanie žiaka možno požiadať príslušný orgán miestnej štátnej správy v školstve. Preskúšať žiaka nemožno, ak bol v klasifikačnom období z tohto vyučovacieho predmetu hodnotený na základe komisionálnej skúšky.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8C0A17" w:rsidRDefault="0004551C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8C0A17"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O možnosti vykonať komisionálnu skúšku rozhodne riaditeľ školy. Riaditeľ školy môže povoliť prítomnosť zákonného zástupcu žiaka na jeho komisionálnom preskúšaní.</w:t>
      </w:r>
    </w:p>
    <w:p w:rsidR="008C0A17" w:rsidRPr="008C0A17" w:rsidRDefault="008C0A17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C0A17" w:rsidRPr="00E15ADC" w:rsidRDefault="0004551C" w:rsidP="004B32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C) </w:t>
      </w:r>
      <w:r w:rsidR="000C3CAE" w:rsidRPr="00E15ADC">
        <w:rPr>
          <w:rFonts w:ascii="Times New Roman" w:hAnsi="Times New Roman" w:cs="Times New Roman"/>
          <w:b/>
          <w:sz w:val="24"/>
          <w:szCs w:val="24"/>
        </w:rPr>
        <w:t>Hodnotenie a klasifikácia správania sa žiakov a udeľovanie opatrení vo výchove</w:t>
      </w:r>
    </w:p>
    <w:p w:rsidR="00E15ADC" w:rsidRPr="00E15ADC" w:rsidRDefault="00E15ADC" w:rsidP="00274BD4">
      <w:pPr>
        <w:pStyle w:val="odsek"/>
        <w:numPr>
          <w:ilvl w:val="0"/>
          <w:numId w:val="0"/>
        </w:numPr>
        <w:shd w:val="clear" w:color="auto" w:fill="FFFFFF" w:themeFill="background1"/>
        <w:spacing w:after="0" w:line="360" w:lineRule="auto"/>
        <w:rPr>
          <w:color w:val="auto"/>
          <w:lang w:eastAsia="cs-CZ"/>
        </w:rPr>
      </w:pPr>
      <w:r w:rsidRPr="00E15ADC">
        <w:t xml:space="preserve">1. Klasifikáciu správania žiaka navrhuje triedny učiteľ po prerokovaní s ostatnými vyučujúcimi a schvaľuje riaditeľ po prerokovaní v pedagogickej rade. </w:t>
      </w:r>
      <w:r w:rsidR="004A2A55">
        <w:t>Klasifikácia správania, u</w:t>
      </w:r>
      <w:r w:rsidRPr="00E15ADC">
        <w:t>delené výchovné opatrenia a dôvody zníženej známky zo správania sa</w:t>
      </w:r>
      <w:r w:rsidRPr="00E15ADC">
        <w:rPr>
          <w:color w:val="auto"/>
          <w:lang w:eastAsia="cs-CZ"/>
        </w:rPr>
        <w:t xml:space="preserve"> zaznamenávajú do katalógového listu žiaka. </w:t>
      </w:r>
      <w:r w:rsidR="00274BD4">
        <w:rPr>
          <w:color w:val="auto"/>
          <w:lang w:eastAsia="cs-CZ"/>
        </w:rPr>
        <w:t>Výchovné opatrenia sa písomne oznamujú zákonným zástupcom žiaka.</w:t>
      </w:r>
    </w:p>
    <w:p w:rsidR="00E15ADC" w:rsidRPr="00E15ADC" w:rsidRDefault="00E15ADC" w:rsidP="00E15ADC">
      <w:pPr>
        <w:pStyle w:val="Zkladntext"/>
        <w:shd w:val="clear" w:color="auto" w:fill="FFFFFF" w:themeFill="background1"/>
        <w:spacing w:line="360" w:lineRule="auto"/>
        <w:outlineLvl w:val="0"/>
      </w:pPr>
    </w:p>
    <w:p w:rsidR="00E15ADC" w:rsidRPr="00E15ADC" w:rsidRDefault="00E15ADC" w:rsidP="00E15ADC">
      <w:pPr>
        <w:pStyle w:val="Zkladntext"/>
        <w:shd w:val="clear" w:color="auto" w:fill="FFFFFF" w:themeFill="background1"/>
        <w:spacing w:line="360" w:lineRule="auto"/>
        <w:outlineLvl w:val="0"/>
      </w:pPr>
      <w:r w:rsidRPr="00E15ADC">
        <w:t xml:space="preserve">2. Pri hodnotení a klasifikácii správania žiaka sa zohľadňuje plnenie ustanovení školského poriadku a ďalších vnútorných predpisov školy a dodržiavanie stanovených pravidiel správania, ľudských práv a práv dieťaťa, dodržiavanie morálnych zásad správania sa v škole a na verejnosti počas aktivít súvisiacich so štúdiom </w:t>
      </w:r>
      <w:r w:rsidR="00B35162">
        <w:t xml:space="preserve">na </w:t>
      </w:r>
      <w:r>
        <w:t>Katolíckom gymnáziu Š. Moysesa</w:t>
      </w:r>
      <w:r w:rsidRPr="00E15ADC">
        <w:t>. Pri klasifikácii správania sa v jednotlivých prípadoch prihliada na zdravotný stav žiaka.</w:t>
      </w:r>
    </w:p>
    <w:p w:rsidR="00E15ADC" w:rsidRPr="00E15ADC" w:rsidRDefault="00E15ADC" w:rsidP="00E15ADC">
      <w:pPr>
        <w:pStyle w:val="Zkladntext"/>
        <w:shd w:val="clear" w:color="auto" w:fill="FFFFFF" w:themeFill="background1"/>
        <w:spacing w:line="360" w:lineRule="auto"/>
        <w:outlineLvl w:val="0"/>
      </w:pPr>
    </w:p>
    <w:p w:rsidR="00E15ADC" w:rsidRPr="00E15ADC" w:rsidRDefault="00E15ADC" w:rsidP="00E15ADC">
      <w:pPr>
        <w:pStyle w:val="odsek"/>
        <w:numPr>
          <w:ilvl w:val="0"/>
          <w:numId w:val="0"/>
        </w:numPr>
        <w:shd w:val="clear" w:color="auto" w:fill="FFFFFF" w:themeFill="background1"/>
        <w:spacing w:line="360" w:lineRule="auto"/>
        <w:rPr>
          <w:color w:val="auto"/>
          <w:lang w:eastAsia="cs-CZ"/>
        </w:rPr>
      </w:pPr>
      <w:r w:rsidRPr="00E15ADC">
        <w:rPr>
          <w:color w:val="auto"/>
          <w:lang w:eastAsia="cs-CZ"/>
        </w:rPr>
        <w:t xml:space="preserve">Stupňom 1 – veľmi dobré sa žiak klasifikuje, ak dodržiava ustanovenia školského poriadku a ďalších vnútorných predpisov školy a riadi sa nimi. Dodržiava morálne zásady a pravidlá spolunažívania v kolektíve a vo vzťahu k učiteľom. Ojedinele sa môže dopustiť menej závažných previnení. </w:t>
      </w:r>
    </w:p>
    <w:p w:rsidR="00E15ADC" w:rsidRPr="00E15ADC" w:rsidRDefault="00E15ADC" w:rsidP="00E15ADC">
      <w:pPr>
        <w:pStyle w:val="odsek"/>
        <w:numPr>
          <w:ilvl w:val="0"/>
          <w:numId w:val="0"/>
        </w:numPr>
        <w:shd w:val="clear" w:color="auto" w:fill="FFFFFF" w:themeFill="background1"/>
        <w:spacing w:line="360" w:lineRule="auto"/>
        <w:rPr>
          <w:color w:val="auto"/>
          <w:lang w:eastAsia="cs-CZ"/>
        </w:rPr>
      </w:pPr>
      <w:r w:rsidRPr="00E15ADC">
        <w:rPr>
          <w:color w:val="auto"/>
          <w:lang w:eastAsia="cs-CZ"/>
        </w:rPr>
        <w:t>Stupňom 2 – uspokojivé sa žiak klasifikuje, ak jeho správanie je v súlade s ustanoveniami školského poriadku a ustanoveniami ďalších vnútorných predpisov školy, morálnymi zásadami a pravidlami spolunažívania vzhľadom k spolužiakom a učiteľom. Žiak sa dopustí závažnejšieho priestupku alebo sa opakovane dopúšťa menej závažných priestupkov voči ustanoveniu školského poriadku.</w:t>
      </w:r>
    </w:p>
    <w:p w:rsidR="00E15ADC" w:rsidRPr="00E15ADC" w:rsidRDefault="00E15ADC" w:rsidP="00E15ADC">
      <w:pPr>
        <w:pStyle w:val="odsek"/>
        <w:numPr>
          <w:ilvl w:val="0"/>
          <w:numId w:val="0"/>
        </w:numPr>
        <w:shd w:val="clear" w:color="auto" w:fill="FFFFFF" w:themeFill="background1"/>
        <w:spacing w:line="360" w:lineRule="auto"/>
        <w:rPr>
          <w:color w:val="auto"/>
          <w:lang w:eastAsia="cs-CZ"/>
        </w:rPr>
      </w:pPr>
      <w:r w:rsidRPr="00E15ADC">
        <w:rPr>
          <w:color w:val="auto"/>
          <w:lang w:eastAsia="cs-CZ"/>
        </w:rPr>
        <w:t>Stupňom 3 – menej uspokojivé sa žiak klasifikuje, ak sa dopustí závažného priestupku voči školskému poriadku a voči ďalším vnútorným predpisom školy alebo sa aj po udelení druhého stupňa klasifikácie správania dopúšťa závažnejších priestupkov voči morálnym zásadám a pravidlám spolunažívania, porušuje ľudské práva spolužiakov, pedagogických zamestnancov alebo ďalších osôb.</w:t>
      </w:r>
    </w:p>
    <w:p w:rsidR="00E15ADC" w:rsidRPr="00E15ADC" w:rsidRDefault="00E15ADC" w:rsidP="00274BD4">
      <w:pPr>
        <w:pStyle w:val="odsek"/>
        <w:numPr>
          <w:ilvl w:val="0"/>
          <w:numId w:val="0"/>
        </w:numPr>
        <w:shd w:val="clear" w:color="auto" w:fill="FFFFFF" w:themeFill="background1"/>
        <w:spacing w:after="0" w:line="360" w:lineRule="auto"/>
        <w:rPr>
          <w:color w:val="auto"/>
          <w:lang w:eastAsia="cs-CZ"/>
        </w:rPr>
      </w:pPr>
      <w:r w:rsidRPr="00E15ADC">
        <w:rPr>
          <w:color w:val="auto"/>
          <w:lang w:eastAsia="cs-CZ"/>
        </w:rPr>
        <w:t>Stupňom 4 – neuspokojivé sa žiak klasifikuje, ak jeho správanie je v rozpore s ustanoveniami školského poriadku a s ustanoveniami ďalších vnútorných predpisov školy, s právnymi a etickými normami spoločnosti, výrazne porušuje ľudské práva spolužiakov, pedagogických zamestnancov alebo ďalších osôb. Dopustí sa závažných previnení, ktorými vážne ohrozuje výchovu ostatných žiakov. Zámerne narúša činnosť žiackeho kolektívu.</w:t>
      </w:r>
    </w:p>
    <w:p w:rsidR="00E15ADC" w:rsidRDefault="00E15ADC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BD4" w:rsidRDefault="00E15ADC" w:rsidP="00441EEF">
      <w:pPr>
        <w:pStyle w:val="odsek"/>
        <w:numPr>
          <w:ilvl w:val="0"/>
          <w:numId w:val="0"/>
        </w:numPr>
        <w:spacing w:after="0" w:line="360" w:lineRule="auto"/>
        <w:rPr>
          <w:lang w:eastAsia="cs-CZ"/>
        </w:rPr>
      </w:pPr>
      <w:r>
        <w:t xml:space="preserve">3. </w:t>
      </w:r>
      <w:r w:rsidR="008C0A17" w:rsidRPr="008C0A17">
        <w:rPr>
          <w:lang w:eastAsia="cs-CZ"/>
        </w:rPr>
        <w:t xml:space="preserve">Za </w:t>
      </w:r>
      <w:r w:rsidR="004A2A55" w:rsidRPr="004A2A55">
        <w:rPr>
          <w:color w:val="auto"/>
          <w:lang w:eastAsia="cs-CZ"/>
        </w:rPr>
        <w:t xml:space="preserve">vzorné plnenie </w:t>
      </w:r>
      <w:r w:rsidR="004A2A55" w:rsidRPr="004A2A55">
        <w:rPr>
          <w:lang w:eastAsia="cs-CZ"/>
        </w:rPr>
        <w:t>povinností, mimoriadny prejav aktivity a iniciatívy, dlhodobú svedomitú prácu, výrazne prosociálne správanie, ktoré pozitívne ovplyvňuje sociálnu klímu v triede a v škole a záslužný alebo statočný čin možno žiakovi</w:t>
      </w:r>
      <w:r w:rsidR="008C0A17" w:rsidRPr="008C0A17">
        <w:rPr>
          <w:lang w:eastAsia="cs-CZ"/>
        </w:rPr>
        <w:t xml:space="preserve"> udeliť pochvalu alebo iné ocenenie.</w:t>
      </w:r>
      <w:r w:rsidR="004A2A55">
        <w:rPr>
          <w:lang w:eastAsia="cs-CZ"/>
        </w:rPr>
        <w:t xml:space="preserve"> Pochvalu žiakovi udeľuje triedny učiteľ, riaditeľ, </w:t>
      </w:r>
      <w:r w:rsidR="00274BD4" w:rsidRPr="00D22984">
        <w:rPr>
          <w:sz w:val="22"/>
          <w:szCs w:val="22"/>
        </w:rPr>
        <w:t>zriaďovateľ a iné organizácie alebo orgány školskej správy</w:t>
      </w:r>
      <w:r w:rsidR="00274BD4">
        <w:rPr>
          <w:sz w:val="22"/>
          <w:szCs w:val="22"/>
        </w:rPr>
        <w:t>,</w:t>
      </w:r>
      <w:r w:rsidR="00274BD4">
        <w:rPr>
          <w:lang w:eastAsia="cs-CZ"/>
        </w:rPr>
        <w:t xml:space="preserve"> </w:t>
      </w:r>
      <w:r w:rsidR="004A2A55">
        <w:rPr>
          <w:lang w:eastAsia="cs-CZ"/>
        </w:rPr>
        <w:t xml:space="preserve">v prípade žiakov ubytovaných na internáte vychovávateľ. </w:t>
      </w:r>
      <w:r w:rsidR="004A2A55" w:rsidRPr="004A2A55">
        <w:rPr>
          <w:lang w:eastAsia="cs-CZ"/>
        </w:rPr>
        <w:t>Návrhy na udelenie pochvaly alebo iného ocenenia sa prerokujú v pedagogickej rade. Pochvala alebo iné ocenenie sa udeľuje spravidla na zhromaždení triedy alebo školy.</w:t>
      </w:r>
    </w:p>
    <w:p w:rsidR="00274BD4" w:rsidRDefault="00274BD4" w:rsidP="00293DE9">
      <w:pPr>
        <w:pStyle w:val="odsek"/>
        <w:numPr>
          <w:ilvl w:val="0"/>
          <w:numId w:val="0"/>
        </w:numPr>
        <w:spacing w:after="0" w:line="360" w:lineRule="auto"/>
        <w:rPr>
          <w:lang w:eastAsia="cs-CZ"/>
        </w:rPr>
      </w:pPr>
    </w:p>
    <w:p w:rsidR="00274BD4" w:rsidRPr="00274BD4" w:rsidRDefault="004A2A55" w:rsidP="00441EEF">
      <w:pPr>
        <w:pStyle w:val="odsek"/>
        <w:numPr>
          <w:ilvl w:val="0"/>
          <w:numId w:val="0"/>
        </w:numPr>
        <w:spacing w:after="0" w:line="360" w:lineRule="auto"/>
      </w:pPr>
      <w:r>
        <w:t>4</w:t>
      </w:r>
      <w:r w:rsidR="0004551C">
        <w:t xml:space="preserve">. </w:t>
      </w:r>
      <w:r>
        <w:t xml:space="preserve">Za menej závažné porušenie školského poriadku možno žiakovi </w:t>
      </w:r>
      <w:r w:rsidR="008C0A17" w:rsidRPr="008C0A17">
        <w:t xml:space="preserve">uložiť napomenutie </w:t>
      </w:r>
      <w:r>
        <w:t xml:space="preserve">od triedneho </w:t>
      </w:r>
      <w:r>
        <w:rPr>
          <w:lang w:eastAsia="cs-CZ"/>
        </w:rPr>
        <w:t>učiteľa</w:t>
      </w:r>
      <w:r w:rsidR="00274BD4">
        <w:rPr>
          <w:lang w:eastAsia="cs-CZ"/>
        </w:rPr>
        <w:t xml:space="preserve"> alebo</w:t>
      </w:r>
      <w:r>
        <w:rPr>
          <w:lang w:eastAsia="cs-CZ"/>
        </w:rPr>
        <w:t xml:space="preserve"> pokar</w:t>
      </w:r>
      <w:r w:rsidR="00274BD4">
        <w:rPr>
          <w:lang w:eastAsia="cs-CZ"/>
        </w:rPr>
        <w:t>hanie od triedneho učiteľa, za závažnejšie porušenie</w:t>
      </w:r>
      <w:r w:rsidR="008C0A17" w:rsidRPr="008C0A17">
        <w:rPr>
          <w:lang w:eastAsia="cs-CZ"/>
        </w:rPr>
        <w:t xml:space="preserve"> </w:t>
      </w:r>
      <w:r w:rsidR="00274BD4">
        <w:rPr>
          <w:lang w:eastAsia="cs-CZ"/>
        </w:rPr>
        <w:t xml:space="preserve">školského poriadku </w:t>
      </w:r>
      <w:r w:rsidR="008C0A17" w:rsidRPr="008C0A17">
        <w:rPr>
          <w:lang w:eastAsia="cs-CZ"/>
        </w:rPr>
        <w:t>pokarhanie od riaditeľa</w:t>
      </w:r>
      <w:r w:rsidR="00274BD4">
        <w:rPr>
          <w:lang w:eastAsia="cs-CZ"/>
        </w:rPr>
        <w:t xml:space="preserve">. Za mimoriadne </w:t>
      </w:r>
      <w:r w:rsidR="00274BD4" w:rsidRPr="00274BD4">
        <w:rPr>
          <w:lang w:eastAsia="cs-CZ"/>
        </w:rPr>
        <w:t>závažné alebo opakované previnenia voči školskému poriadku, zásadám spolunažívania, ľudským právam alebo mravným normám spoločnosti</w:t>
      </w:r>
      <w:r w:rsidR="00274BD4">
        <w:rPr>
          <w:lang w:eastAsia="cs-CZ"/>
        </w:rPr>
        <w:t xml:space="preserve"> možno žiakovi uložiť</w:t>
      </w:r>
      <w:r w:rsidR="008C0A17" w:rsidRPr="008C0A17">
        <w:t xml:space="preserve"> podmienečné vylúčenie alebo vylúčenie</w:t>
      </w:r>
      <w:r>
        <w:t xml:space="preserve"> zo </w:t>
      </w:r>
      <w:r w:rsidRPr="004A2A55">
        <w:t>školy</w:t>
      </w:r>
      <w:r w:rsidR="0004551C" w:rsidRPr="004A2A55">
        <w:t xml:space="preserve"> (</w:t>
      </w:r>
      <w:r w:rsidRPr="004A2A55">
        <w:t xml:space="preserve">podmienečné vylúčenie a </w:t>
      </w:r>
      <w:r w:rsidR="0004551C" w:rsidRPr="004A2A55">
        <w:t>vylúčenie zo školy sa netýka žiakov, ktorí plnia povinnú školskú dochádzku)</w:t>
      </w:r>
      <w:r w:rsidR="008C0A17" w:rsidRPr="004A2A55">
        <w:t>.</w:t>
      </w:r>
      <w:r w:rsidR="00274BD4">
        <w:t xml:space="preserve"> </w:t>
      </w:r>
      <w:r w:rsidR="00274BD4" w:rsidRPr="00274BD4">
        <w:t>Žiakovi je možné uložiť opatrenia vo výchove po prerokovaní v pedagogickej rade do dvoch mesiacov odo dňa, keď sa o previnení žiaka dozvedel pedagogický zamestnanec školy, najneskôr však do jedného roka odo dňa, keď sa žiak previnenia dopustil. Za jedno previnenie sa ukladá len jedno opatrenie vo výchove.</w:t>
      </w:r>
      <w:r w:rsidR="00274BD4">
        <w:t xml:space="preserve"> </w:t>
      </w:r>
      <w:r w:rsidR="00274BD4" w:rsidRPr="00274BD4">
        <w:t xml:space="preserve">Pri podmienečnom vylúčení určí riaditeľ skúšobnú lehotu, a to najdlhšie na jeden rok. Ak sa podmienečne vylúčený žiak v skúšobnej lehote osvedčil, riaditeľ upustí od vylúčenia. </w:t>
      </w:r>
    </w:p>
    <w:p w:rsidR="0004551C" w:rsidRDefault="0004551C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1EEF" w:rsidRDefault="00293DE9" w:rsidP="004B3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D) Hodnotenie</w:t>
      </w:r>
      <w:r w:rsidR="00441E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klasifikácia prospechu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žiakov</w:t>
      </w:r>
    </w:p>
    <w:p w:rsidR="00441EEF" w:rsidRPr="00441EEF" w:rsidRDefault="00441EEF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1EEF" w:rsidRPr="008374AD" w:rsidRDefault="00660D79" w:rsidP="00441EEF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1EEF" w:rsidRPr="008374AD">
        <w:rPr>
          <w:rFonts w:ascii="Times New Roman" w:hAnsi="Times New Roman" w:cs="Times New Roman"/>
          <w:sz w:val="24"/>
          <w:szCs w:val="24"/>
        </w:rPr>
        <w:t>Podklady na hodnotenie výchovno-vzdelávacích výsledkov žiaka získava učiteľ najmä týmito metódami, formami a prostriedkami:</w:t>
      </w:r>
    </w:p>
    <w:p w:rsidR="00441EEF" w:rsidRPr="008374AD" w:rsidRDefault="00441EEF" w:rsidP="003D6A9A">
      <w:pPr>
        <w:pStyle w:val="odsek"/>
        <w:numPr>
          <w:ilvl w:val="2"/>
          <w:numId w:val="20"/>
        </w:numPr>
        <w:spacing w:after="0" w:line="360" w:lineRule="auto"/>
        <w:rPr>
          <w:color w:val="auto"/>
        </w:rPr>
      </w:pPr>
      <w:r w:rsidRPr="008374AD">
        <w:rPr>
          <w:color w:val="auto"/>
        </w:rPr>
        <w:t>sústavným diagnostickým pozorovaním žiaka,</w:t>
      </w:r>
    </w:p>
    <w:p w:rsidR="00441EEF" w:rsidRPr="008374AD" w:rsidRDefault="00441EEF" w:rsidP="003D6A9A">
      <w:pPr>
        <w:pStyle w:val="odsek"/>
        <w:numPr>
          <w:ilvl w:val="2"/>
          <w:numId w:val="20"/>
        </w:numPr>
        <w:spacing w:after="0" w:line="360" w:lineRule="auto"/>
        <w:rPr>
          <w:color w:val="auto"/>
        </w:rPr>
      </w:pPr>
      <w:r w:rsidRPr="008374AD">
        <w:rPr>
          <w:color w:val="auto"/>
        </w:rPr>
        <w:t>sústavným sledovaním výkonu žiaka a jeho pripravenosti na vyučovanie,</w:t>
      </w:r>
    </w:p>
    <w:p w:rsidR="00441EEF" w:rsidRPr="008374AD" w:rsidRDefault="00441EEF" w:rsidP="003D6A9A">
      <w:pPr>
        <w:pStyle w:val="odsek"/>
        <w:numPr>
          <w:ilvl w:val="2"/>
          <w:numId w:val="20"/>
        </w:numPr>
        <w:spacing w:after="0" w:line="360" w:lineRule="auto"/>
        <w:rPr>
          <w:color w:val="auto"/>
        </w:rPr>
      </w:pPr>
      <w:r w:rsidRPr="008374AD">
        <w:rPr>
          <w:color w:val="auto"/>
        </w:rPr>
        <w:t>rôznymi druhmi skúšok (písomné, ústne, grafické, praktické, pohybové) a didaktickými testami; uplatňuje aj metódy menej riadené (referáty, denníky, projekty, sebahodnotiace listy, dotazníky, pozorovania, portfóliá)</w:t>
      </w:r>
      <w:r>
        <w:rPr>
          <w:color w:val="auto"/>
        </w:rPr>
        <w:t xml:space="preserve"> a berie do úvahy</w:t>
      </w:r>
      <w:r w:rsidRPr="008374AD">
        <w:rPr>
          <w:color w:val="auto"/>
        </w:rPr>
        <w:t xml:space="preserve"> súbor prác žiaka, ktoré vypovedajú o jeho výkone,</w:t>
      </w:r>
    </w:p>
    <w:p w:rsidR="00441EEF" w:rsidRPr="008374AD" w:rsidRDefault="00441EEF" w:rsidP="003D6A9A">
      <w:pPr>
        <w:pStyle w:val="odsek"/>
        <w:numPr>
          <w:ilvl w:val="2"/>
          <w:numId w:val="20"/>
        </w:numPr>
        <w:spacing w:after="0" w:line="360" w:lineRule="auto"/>
        <w:rPr>
          <w:color w:val="auto"/>
        </w:rPr>
      </w:pPr>
      <w:r w:rsidRPr="008374AD">
        <w:rPr>
          <w:color w:val="auto"/>
        </w:rPr>
        <w:t>analýzou výsledkov rôznych činností žiaka,</w:t>
      </w:r>
    </w:p>
    <w:p w:rsidR="00441EEF" w:rsidRPr="008374AD" w:rsidRDefault="00441EEF" w:rsidP="003D6A9A">
      <w:pPr>
        <w:pStyle w:val="odsek"/>
        <w:numPr>
          <w:ilvl w:val="2"/>
          <w:numId w:val="20"/>
        </w:numPr>
        <w:tabs>
          <w:tab w:val="clear" w:pos="510"/>
          <w:tab w:val="left" w:pos="720"/>
        </w:tabs>
        <w:spacing w:after="0" w:line="360" w:lineRule="auto"/>
        <w:rPr>
          <w:color w:val="auto"/>
        </w:rPr>
      </w:pPr>
      <w:r w:rsidRPr="008374AD">
        <w:rPr>
          <w:color w:val="auto"/>
        </w:rPr>
        <w:t>konzultáciami s ostatnými pedagogickými zamestnancami a podľa potreby s odbornými zamestnancami zariadenia výchovného poradenstva a prevencie, všeobecného lekára pre deti a dorast, najmä u žiaka s trvalejšími zdravotnými ťažkosťami a poruchami,</w:t>
      </w:r>
    </w:p>
    <w:p w:rsidR="00441EEF" w:rsidRDefault="00441EEF" w:rsidP="00660D79">
      <w:pPr>
        <w:pStyle w:val="odsek"/>
        <w:numPr>
          <w:ilvl w:val="2"/>
          <w:numId w:val="20"/>
        </w:numPr>
        <w:tabs>
          <w:tab w:val="clear" w:pos="510"/>
        </w:tabs>
        <w:spacing w:line="360" w:lineRule="auto"/>
        <w:rPr>
          <w:color w:val="auto"/>
        </w:rPr>
      </w:pPr>
      <w:r w:rsidRPr="008374AD">
        <w:rPr>
          <w:color w:val="auto"/>
        </w:rPr>
        <w:t>rozhovormi so žiakom a so zákonným zástupcom žiaka.</w:t>
      </w:r>
    </w:p>
    <w:p w:rsidR="00660D79" w:rsidRDefault="00660D79" w:rsidP="005C08BD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  <w:ind w:left="357"/>
        <w:rPr>
          <w:color w:val="auto"/>
        </w:rPr>
      </w:pPr>
    </w:p>
    <w:p w:rsidR="00660D79" w:rsidRPr="00660D79" w:rsidRDefault="00660D79" w:rsidP="00660D7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žiaka v priebehu školského roka sa vykonáva podľa úrovne dosiahnutých výsledkov:</w:t>
      </w:r>
    </w:p>
    <w:p w:rsidR="00660D79" w:rsidRPr="008C0A17" w:rsidRDefault="00660D79" w:rsidP="00660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slovným hodnotením,</w:t>
      </w:r>
    </w:p>
    <w:p w:rsidR="00660D79" w:rsidRPr="008C0A17" w:rsidRDefault="00660D79" w:rsidP="00660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klasifikáciou,</w:t>
      </w:r>
    </w:p>
    <w:p w:rsidR="00660D79" w:rsidRDefault="00660D79" w:rsidP="00D728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4B3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0A17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kombináciou klasifikácie a slovného hodnotenia.</w:t>
      </w:r>
    </w:p>
    <w:p w:rsidR="00D728B9" w:rsidRDefault="00D728B9" w:rsidP="00D728B9">
      <w:pPr>
        <w:pStyle w:val="Zkladntext"/>
        <w:shd w:val="clear" w:color="auto" w:fill="FFFFFF" w:themeFill="background1"/>
        <w:spacing w:line="360" w:lineRule="auto"/>
        <w:rPr>
          <w:lang w:eastAsia="sk-SK"/>
        </w:rPr>
      </w:pPr>
      <w:r w:rsidRPr="00D728B9">
        <w:rPr>
          <w:lang w:eastAsia="sk-SK"/>
        </w:rPr>
        <w:t>Vyučujúci môže pre  priebežnú klasifikáciu zvoliť i bodové alebo percentuálne hodnotenie, pokiaľ toto hodnotenie prerokuje s vedúcim PK a vedením školy a pravidlá zverejní rodičom a žiakom.</w:t>
      </w:r>
      <w:r>
        <w:rPr>
          <w:lang w:eastAsia="sk-SK"/>
        </w:rPr>
        <w:t xml:space="preserve"> V elektronickej žiackej knižke povinne nastaví prepočet bodov alebo percent na známku. Lomené známky, známky so znamienkom +/- sa nepoužívajú.</w:t>
      </w:r>
    </w:p>
    <w:p w:rsidR="00660D79" w:rsidRDefault="00660D79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D79">
        <w:rPr>
          <w:rFonts w:ascii="Times New Roman" w:eastAsia="Times New Roman" w:hAnsi="Times New Roman" w:cs="Times New Roman"/>
          <w:sz w:val="24"/>
          <w:szCs w:val="24"/>
          <w:lang w:eastAsia="sk-SK"/>
        </w:rPr>
        <w:t>V záujme poskytnutia objektívnej spätnej väzby a poukázania na rozvojové možnosti žiaka v danej oblasti môže učiteľ pri priebežnej klasifikácií známkou uviesť slovný komentár, v ktorom vysvetlí nedostatky a zdôrazní pozitíva písomnej práce.</w:t>
      </w:r>
    </w:p>
    <w:p w:rsidR="00C978EC" w:rsidRPr="00C978EC" w:rsidRDefault="00C978EC" w:rsidP="00C978EC">
      <w:pPr>
        <w:pStyle w:val="Zkladntext"/>
        <w:shd w:val="clear" w:color="auto" w:fill="FFFFFF" w:themeFill="background1"/>
        <w:spacing w:line="360" w:lineRule="auto"/>
        <w:rPr>
          <w:lang w:eastAsia="sk-SK"/>
        </w:rPr>
      </w:pPr>
      <w:r w:rsidRPr="00C978EC">
        <w:rPr>
          <w:lang w:eastAsia="sk-SK"/>
        </w:rPr>
        <w:t>Jednotlivé predmety majú spracovaný systém hodnotenia. S týmto systémom sú žiaci na začiatku školského roka oboznámení a</w:t>
      </w:r>
      <w:r w:rsidR="00293DE9">
        <w:rPr>
          <w:lang w:eastAsia="sk-SK"/>
        </w:rPr>
        <w:t> je prílohou k Smernici o hodnotení a klasifikácii žiakov KGŠM</w:t>
      </w:r>
      <w:r w:rsidRPr="00C978EC">
        <w:rPr>
          <w:lang w:eastAsia="sk-SK"/>
        </w:rPr>
        <w:t xml:space="preserve">. Známkam za odpovede, písomky, písomné práce, projekty, bleskovky a pod. môže byť pridelená váha. </w:t>
      </w:r>
    </w:p>
    <w:p w:rsidR="00C978EC" w:rsidRPr="00660D79" w:rsidRDefault="00C978EC" w:rsidP="00660D79">
      <w:p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0D79" w:rsidRPr="00660D79" w:rsidRDefault="00660D79" w:rsidP="00660D79">
      <w:pPr>
        <w:pStyle w:val="Zkladntext"/>
        <w:shd w:val="clear" w:color="auto" w:fill="FFFFFF" w:themeFill="background1"/>
      </w:pPr>
      <w:r w:rsidRPr="00660D79">
        <w:t>3. Pri hodnotení a klasifikácii žiaka sa zohľadňuje:</w:t>
      </w:r>
    </w:p>
    <w:p w:rsidR="00660D79" w:rsidRPr="00660D79" w:rsidRDefault="00660D79" w:rsidP="00660D79">
      <w:pPr>
        <w:pStyle w:val="Zkladntext"/>
        <w:shd w:val="clear" w:color="auto" w:fill="FFFFFF" w:themeFill="background1"/>
        <w:rPr>
          <w:b/>
        </w:rPr>
      </w:pPr>
    </w:p>
    <w:p w:rsidR="00660D79" w:rsidRPr="00660D79" w:rsidRDefault="005C08BD" w:rsidP="005C08BD">
      <w:pPr>
        <w:pStyle w:val="Zkladntext"/>
        <w:shd w:val="clear" w:color="auto" w:fill="FFFFFF" w:themeFill="background1"/>
        <w:spacing w:line="360" w:lineRule="auto"/>
      </w:pPr>
      <w:r>
        <w:t xml:space="preserve">a)   </w:t>
      </w:r>
      <w:r w:rsidR="00660D79" w:rsidRPr="00660D79">
        <w:t>celistvosť, presnosť, trvácnosť osvojenia si vedomostí a zručností, schopnosť vyjadriť fakty, pojmy, definície a</w:t>
      </w:r>
      <w:r w:rsidR="00D728B9">
        <w:t> </w:t>
      </w:r>
      <w:r w:rsidR="00660D79" w:rsidRPr="00660D79">
        <w:t>vzťahy</w:t>
      </w:r>
      <w:r w:rsidR="00D728B9">
        <w:t>,</w:t>
      </w:r>
      <w:r w:rsidR="00660D79" w:rsidRPr="00660D79">
        <w:t xml:space="preserve"> </w:t>
      </w:r>
    </w:p>
    <w:p w:rsidR="005C08BD" w:rsidRDefault="005C08BD" w:rsidP="005C08BD">
      <w:pPr>
        <w:pStyle w:val="Zkladntext"/>
        <w:shd w:val="clear" w:color="auto" w:fill="FFFFFF" w:themeFill="background1"/>
        <w:spacing w:line="360" w:lineRule="auto"/>
      </w:pPr>
      <w:r>
        <w:t xml:space="preserve">b) </w:t>
      </w:r>
      <w:r w:rsidR="00660D79" w:rsidRPr="00660D79">
        <w:t>schopnosť uplatňovať osvojené poznatky a zručnosti pri riešení kvalitatívnych i kvantitatívnych teoretických a praktických úloh</w:t>
      </w:r>
      <w:r w:rsidR="00D728B9">
        <w:t>,</w:t>
      </w:r>
    </w:p>
    <w:p w:rsidR="00660D79" w:rsidRPr="00660D79" w:rsidRDefault="005C08BD" w:rsidP="005C08BD">
      <w:pPr>
        <w:pStyle w:val="Zkladntext"/>
        <w:shd w:val="clear" w:color="auto" w:fill="FFFFFF" w:themeFill="background1"/>
        <w:spacing w:line="360" w:lineRule="auto"/>
      </w:pPr>
      <w:r>
        <w:t xml:space="preserve">c)   </w:t>
      </w:r>
      <w:r w:rsidR="00660D79" w:rsidRPr="00660D79">
        <w:t>kvalita myslenia (kreativita, samostatnosť, ...)</w:t>
      </w:r>
      <w:r w:rsidR="00D728B9">
        <w:t>,</w:t>
      </w:r>
    </w:p>
    <w:p w:rsidR="00660D79" w:rsidRPr="00660D79" w:rsidRDefault="00660D79" w:rsidP="005C08BD">
      <w:pPr>
        <w:pStyle w:val="Zkladntext"/>
        <w:numPr>
          <w:ilvl w:val="2"/>
          <w:numId w:val="22"/>
        </w:numPr>
        <w:shd w:val="clear" w:color="auto" w:fill="FFFFFF" w:themeFill="background1"/>
        <w:spacing w:line="360" w:lineRule="auto"/>
      </w:pPr>
      <w:r w:rsidRPr="00660D79">
        <w:t>aktivita</w:t>
      </w:r>
      <w:r w:rsidR="00D728B9">
        <w:t>,</w:t>
      </w:r>
    </w:p>
    <w:p w:rsidR="00660D79" w:rsidRPr="00660D79" w:rsidRDefault="00660D79" w:rsidP="005C08BD">
      <w:pPr>
        <w:pStyle w:val="Zkladntext"/>
        <w:numPr>
          <w:ilvl w:val="2"/>
          <w:numId w:val="22"/>
        </w:numPr>
        <w:shd w:val="clear" w:color="auto" w:fill="FFFFFF" w:themeFill="background1"/>
        <w:spacing w:line="360" w:lineRule="auto"/>
      </w:pPr>
      <w:r w:rsidRPr="00660D79">
        <w:t>ústny a písomný prejav</w:t>
      </w:r>
      <w:r w:rsidR="00D728B9">
        <w:t>.</w:t>
      </w:r>
    </w:p>
    <w:p w:rsidR="00660D79" w:rsidRPr="00660D79" w:rsidRDefault="00660D79" w:rsidP="00660D79">
      <w:pPr>
        <w:pStyle w:val="odsek"/>
        <w:numPr>
          <w:ilvl w:val="0"/>
          <w:numId w:val="0"/>
        </w:numPr>
        <w:rPr>
          <w:color w:val="auto"/>
        </w:rPr>
      </w:pPr>
    </w:p>
    <w:p w:rsidR="00660D79" w:rsidRDefault="005C08BD" w:rsidP="00780B7E">
      <w:pPr>
        <w:pStyle w:val="odsek"/>
        <w:numPr>
          <w:ilvl w:val="0"/>
          <w:numId w:val="0"/>
        </w:numPr>
        <w:spacing w:line="360" w:lineRule="auto"/>
        <w:rPr>
          <w:color w:val="auto"/>
        </w:rPr>
      </w:pPr>
      <w:r>
        <w:rPr>
          <w:color w:val="auto"/>
        </w:rPr>
        <w:t xml:space="preserve">4. </w:t>
      </w:r>
      <w:r w:rsidR="00660D79" w:rsidRPr="005C08BD">
        <w:rPr>
          <w:color w:val="auto"/>
        </w:rPr>
        <w:t>Žiak je z predmetu skúšaný ústne, písomne alebo prakticky. Žiak by mal byť v priebehu polroka z jedného vyučovacieho predmetu s hodinovou dotáciou jedna hodina týždenne vyskúšaný minimálne dvakrát. Z vyučovacieho predmetu s hodinovou dotáciou vyššou ako jedna hodina týždenne by mal byť žiak v priebehu polroka skúšaný minimálne trikrát.</w:t>
      </w:r>
      <w:r w:rsidR="00780B7E">
        <w:rPr>
          <w:color w:val="auto"/>
        </w:rPr>
        <w:t xml:space="preserve"> </w:t>
      </w:r>
    </w:p>
    <w:p w:rsidR="00780B7E" w:rsidRPr="00780B7E" w:rsidRDefault="00780B7E" w:rsidP="00780B7E">
      <w:pPr>
        <w:pStyle w:val="Zkladntext"/>
        <w:shd w:val="clear" w:color="auto" w:fill="FFFFFF" w:themeFill="background1"/>
        <w:spacing w:line="360" w:lineRule="auto"/>
        <w:rPr>
          <w:lang w:eastAsia="sk-SK"/>
        </w:rPr>
      </w:pPr>
      <w:r w:rsidRPr="00780B7E">
        <w:rPr>
          <w:lang w:eastAsia="sk-SK"/>
        </w:rPr>
        <w:t xml:space="preserve">Výsledný prospech z daného predmetu </w:t>
      </w:r>
      <w:r w:rsidR="00293DE9">
        <w:rPr>
          <w:lang w:eastAsia="sk-SK"/>
        </w:rPr>
        <w:t xml:space="preserve">za príslušné klasifikačné obdobie </w:t>
      </w:r>
      <w:r w:rsidRPr="00780B7E">
        <w:rPr>
          <w:lang w:eastAsia="sk-SK"/>
        </w:rPr>
        <w:t>musí vyučuj</w:t>
      </w:r>
      <w:r>
        <w:rPr>
          <w:lang w:eastAsia="sk-SK"/>
        </w:rPr>
        <w:t xml:space="preserve">úci zapísať </w:t>
      </w:r>
      <w:r w:rsidRPr="00780B7E">
        <w:rPr>
          <w:lang w:eastAsia="sk-SK"/>
        </w:rPr>
        <w:t>číslom do elektronickej žiackej knižky</w:t>
      </w:r>
      <w:r>
        <w:rPr>
          <w:lang w:eastAsia="sk-SK"/>
        </w:rPr>
        <w:t xml:space="preserve"> najneskôr 48 hodín </w:t>
      </w:r>
      <w:r w:rsidRPr="00780B7E">
        <w:rPr>
          <w:lang w:eastAsia="sk-SK"/>
        </w:rPr>
        <w:t xml:space="preserve">pred polročnou alebo koncoročnou klasifikačnou pedagogickou </w:t>
      </w:r>
      <w:r>
        <w:rPr>
          <w:lang w:eastAsia="sk-SK"/>
        </w:rPr>
        <w:t xml:space="preserve">poradou. </w:t>
      </w:r>
    </w:p>
    <w:p w:rsidR="005C08BD" w:rsidRDefault="005C08BD" w:rsidP="00780B7E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</w:p>
    <w:p w:rsidR="00660D79" w:rsidRPr="005C08BD" w:rsidRDefault="005C08BD" w:rsidP="005C08BD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>
        <w:rPr>
          <w:color w:val="auto"/>
        </w:rPr>
        <w:t xml:space="preserve">5. </w:t>
      </w:r>
      <w:r w:rsidR="00660D79" w:rsidRPr="005C08BD">
        <w:rPr>
          <w:color w:val="auto"/>
        </w:rPr>
        <w:t>Učiteľ oznámi žiakovi výsledok každého hodnotenia a klasifikácie so zdôvodnením. Po ústnom vyskúšaní oznámi učiteľ výsledok hodnotenia ihneď. Výsledky hodnotenia písomných skúšok, prác aj praktických činností oznámi žiakovi a predloží k nahliadnutiu najneskôr do 14 dní</w:t>
      </w:r>
      <w:r w:rsidR="003D6A9A">
        <w:rPr>
          <w:color w:val="auto"/>
        </w:rPr>
        <w:t xml:space="preserve"> (platí pre kvintu až oktávu osemročného gymnázia a 1. až 4. ročník štvorročného gymnázia), resp. do 10 dní (platí pre prímu až kvartu osemročného gymnázia)</w:t>
      </w:r>
      <w:r w:rsidR="00660D79" w:rsidRPr="005C08BD">
        <w:rPr>
          <w:color w:val="auto"/>
        </w:rPr>
        <w:t>.</w:t>
      </w:r>
    </w:p>
    <w:p w:rsidR="005C08BD" w:rsidRDefault="005C08BD" w:rsidP="005C08BD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</w:p>
    <w:p w:rsidR="00660D79" w:rsidRDefault="005C08BD" w:rsidP="005C08BD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>
        <w:rPr>
          <w:color w:val="auto"/>
        </w:rPr>
        <w:t xml:space="preserve">6. </w:t>
      </w:r>
      <w:r w:rsidR="00660D79" w:rsidRPr="005C08BD">
        <w:rPr>
          <w:color w:val="auto"/>
        </w:rPr>
        <w:t>Jednotlivé druhy písomných skúšok rozvrhne učiteľ rovnomerne na celý školský rok, aby sa nadmerne nehromadili v určitých obdobiach. Termín písomnej práce, ktorá trvá viac ako 25 minút, učiteľ konzultuje s triednym učiteľom, ktorý koordinuje plán skúšania</w:t>
      </w:r>
      <w:r w:rsidR="00D728B9">
        <w:rPr>
          <w:color w:val="auto"/>
        </w:rPr>
        <w:t xml:space="preserve"> a zaznačí </w:t>
      </w:r>
      <w:r w:rsidR="00C978EC">
        <w:rPr>
          <w:color w:val="auto"/>
        </w:rPr>
        <w:t xml:space="preserve">ho </w:t>
      </w:r>
      <w:r w:rsidR="00D728B9">
        <w:rPr>
          <w:color w:val="auto"/>
        </w:rPr>
        <w:t>do plánu písomných práv v zborovni</w:t>
      </w:r>
      <w:r w:rsidR="00660D79" w:rsidRPr="005C08BD">
        <w:rPr>
          <w:color w:val="auto"/>
        </w:rPr>
        <w:t>.</w:t>
      </w:r>
      <w:r w:rsidR="00D728B9">
        <w:rPr>
          <w:color w:val="auto"/>
        </w:rPr>
        <w:t xml:space="preserve"> Žiakom takúto písomnú prácu oznámi s dostatočným predstihom (min. 3 dni).</w:t>
      </w:r>
      <w:r w:rsidR="00660D79" w:rsidRPr="005C08BD">
        <w:rPr>
          <w:color w:val="auto"/>
        </w:rPr>
        <w:t xml:space="preserve"> V jednom dni môžu žiaci písať len jednu skúšku uvedeného charakteru.</w:t>
      </w:r>
      <w:r w:rsidR="003D6A9A">
        <w:rPr>
          <w:color w:val="auto"/>
        </w:rPr>
        <w:t xml:space="preserve"> </w:t>
      </w:r>
      <w:r w:rsidR="00D728B9">
        <w:rPr>
          <w:color w:val="auto"/>
        </w:rPr>
        <w:t xml:space="preserve">Pre oznamovanie a registráciu skúšania sa odporúča využívať elektronický systém Edupage. </w:t>
      </w:r>
      <w:r w:rsidR="003D6A9A">
        <w:rPr>
          <w:color w:val="auto"/>
        </w:rPr>
        <w:t>Písomné práce učiteľ archivuje do konca školského roka.</w:t>
      </w:r>
    </w:p>
    <w:p w:rsidR="00D728B9" w:rsidRPr="00D22984" w:rsidRDefault="00D728B9" w:rsidP="00D728B9">
      <w:pPr>
        <w:pStyle w:val="Zkladntext"/>
        <w:shd w:val="clear" w:color="auto" w:fill="FFFFFF" w:themeFill="background1"/>
        <w:rPr>
          <w:sz w:val="22"/>
          <w:szCs w:val="22"/>
        </w:rPr>
      </w:pPr>
    </w:p>
    <w:p w:rsidR="003D6A9A" w:rsidRDefault="003D6A9A" w:rsidP="003D6A9A">
      <w:pPr>
        <w:pStyle w:val="odsek"/>
        <w:numPr>
          <w:ilvl w:val="0"/>
          <w:numId w:val="0"/>
        </w:numPr>
        <w:rPr>
          <w:color w:val="auto"/>
        </w:rPr>
      </w:pPr>
      <w:r w:rsidRPr="003D6A9A">
        <w:rPr>
          <w:color w:val="auto"/>
        </w:rPr>
        <w:t>7. Prospech žiaka v  jednotlivých vyučovacích predmetoch sa klasifikuje týmito stupňami:</w:t>
      </w:r>
    </w:p>
    <w:p w:rsidR="00293DE9" w:rsidRPr="003D6A9A" w:rsidRDefault="00293DE9" w:rsidP="003D6A9A">
      <w:pPr>
        <w:pStyle w:val="odsek"/>
        <w:numPr>
          <w:ilvl w:val="0"/>
          <w:numId w:val="0"/>
        </w:numPr>
        <w:rPr>
          <w:color w:val="auto"/>
        </w:rPr>
      </w:pPr>
    </w:p>
    <w:p w:rsidR="003D6A9A" w:rsidRPr="003D6A9A" w:rsidRDefault="003D6A9A" w:rsidP="00293DE9">
      <w:pPr>
        <w:pStyle w:val="odsek"/>
        <w:numPr>
          <w:ilvl w:val="0"/>
          <w:numId w:val="0"/>
        </w:numPr>
        <w:spacing w:before="120" w:line="360" w:lineRule="auto"/>
      </w:pPr>
      <w:r w:rsidRPr="003D6A9A">
        <w:t>Stupeň 1 (výborný)</w:t>
      </w:r>
      <w:r>
        <w:t xml:space="preserve">: </w:t>
      </w:r>
      <w:r w:rsidRPr="003D6A9A"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:rsidR="003D6A9A" w:rsidRPr="003D6A9A" w:rsidRDefault="003D6A9A" w:rsidP="00D728B9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2 (chválitebný)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3D6A9A" w:rsidRPr="003D6A9A" w:rsidRDefault="003D6A9A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3 (dobrý)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3D6A9A" w:rsidRPr="003D6A9A" w:rsidRDefault="003D6A9A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4 (dostatočný)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závažné medzery v celistvosti a úplnosti osvojenia poznatkov a zákonitostí podľa učebných osnov ako aj v 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3D6A9A" w:rsidRDefault="003D6A9A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5 (nedostatočný)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3D6A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Kvalita výsledkov jeho činností a grafický prejav sú na nízkej úrovni. Vážne nedostatky nedokáže opraviť ani s pomocou učiteľa.</w:t>
      </w:r>
    </w:p>
    <w:p w:rsidR="00780B7E" w:rsidRPr="00293DE9" w:rsidRDefault="00780B7E" w:rsidP="00780B7E">
      <w:pPr>
        <w:pStyle w:val="Zkladntext"/>
        <w:shd w:val="clear" w:color="auto" w:fill="FFFFFF" w:themeFill="background1"/>
        <w:spacing w:line="360" w:lineRule="auto"/>
        <w:ind w:left="284" w:hanging="284"/>
      </w:pPr>
      <w:r>
        <w:rPr>
          <w:lang w:eastAsia="sk-SK"/>
        </w:rPr>
        <w:t xml:space="preserve">8. </w:t>
      </w:r>
      <w:r w:rsidRPr="00293DE9">
        <w:rPr>
          <w:lang w:eastAsia="sk-SK"/>
        </w:rPr>
        <w:t xml:space="preserve">Riaditeľ školy odporúča zákonným zástupcom žiakov </w:t>
      </w:r>
      <w:r w:rsidRPr="00293DE9">
        <w:t>prímy až kvarty osemročného gymnázia preradenie žiaka na základnú školu v prípade, že:</w:t>
      </w:r>
    </w:p>
    <w:p w:rsidR="00780B7E" w:rsidRPr="00293DE9" w:rsidRDefault="00780B7E" w:rsidP="00780B7E">
      <w:pPr>
        <w:pStyle w:val="Zkladntext"/>
        <w:numPr>
          <w:ilvl w:val="2"/>
          <w:numId w:val="25"/>
        </w:numPr>
        <w:shd w:val="clear" w:color="auto" w:fill="FFFFFF" w:themeFill="background1"/>
        <w:spacing w:line="360" w:lineRule="auto"/>
      </w:pPr>
      <w:r w:rsidRPr="00293DE9">
        <w:t xml:space="preserve">celkové hodnotenie </w:t>
      </w:r>
      <w:r w:rsidR="00293DE9">
        <w:t xml:space="preserve">žiaka </w:t>
      </w:r>
      <w:r w:rsidRPr="00293DE9">
        <w:t>na konci klasifikačného obdobia je „neprospel“</w:t>
      </w:r>
    </w:p>
    <w:p w:rsidR="00780B7E" w:rsidRPr="00293DE9" w:rsidRDefault="00780B7E" w:rsidP="00780B7E">
      <w:pPr>
        <w:pStyle w:val="Zkladntext"/>
        <w:numPr>
          <w:ilvl w:val="2"/>
          <w:numId w:val="25"/>
        </w:numPr>
        <w:shd w:val="clear" w:color="auto" w:fill="FFFFFF" w:themeFill="background1"/>
        <w:spacing w:line="360" w:lineRule="auto"/>
      </w:pPr>
      <w:r w:rsidRPr="00293DE9">
        <w:t xml:space="preserve">v dvoch po sebe nasledujúcich klasifikačných obdobiach dosiahne žiak celkový priemer 2,3 a horší </w:t>
      </w:r>
    </w:p>
    <w:p w:rsidR="00780B7E" w:rsidRPr="00293DE9" w:rsidRDefault="00293DE9" w:rsidP="00780B7E">
      <w:pPr>
        <w:pStyle w:val="Zkladntext"/>
        <w:numPr>
          <w:ilvl w:val="2"/>
          <w:numId w:val="25"/>
        </w:numPr>
        <w:shd w:val="clear" w:color="auto" w:fill="FFFFFF" w:themeFill="background1"/>
        <w:spacing w:line="360" w:lineRule="auto"/>
      </w:pPr>
      <w:r>
        <w:t xml:space="preserve">žiak </w:t>
      </w:r>
      <w:r w:rsidR="00780B7E" w:rsidRPr="00293DE9">
        <w:t xml:space="preserve">svojím správaním a konaním neustále </w:t>
      </w:r>
      <w:r w:rsidR="009E0A16">
        <w:t xml:space="preserve">a závažným spôsobom </w:t>
      </w:r>
      <w:r w:rsidR="00780B7E" w:rsidRPr="00293DE9">
        <w:t>narušuj</w:t>
      </w:r>
      <w:r>
        <w:t>e</w:t>
      </w:r>
      <w:r w:rsidR="00780B7E" w:rsidRPr="00293DE9">
        <w:t xml:space="preserve"> výchovno-vzdelávací proces</w:t>
      </w:r>
    </w:p>
    <w:p w:rsidR="00780B7E" w:rsidRPr="00293DE9" w:rsidRDefault="00780B7E" w:rsidP="00780B7E">
      <w:pPr>
        <w:pStyle w:val="odsek"/>
        <w:numPr>
          <w:ilvl w:val="0"/>
          <w:numId w:val="0"/>
        </w:numPr>
        <w:rPr>
          <w:b/>
        </w:rPr>
      </w:pPr>
    </w:p>
    <w:p w:rsidR="00780B7E" w:rsidRDefault="00780B7E" w:rsidP="00780B7E">
      <w:pPr>
        <w:pStyle w:val="odsek"/>
        <w:numPr>
          <w:ilvl w:val="0"/>
          <w:numId w:val="0"/>
        </w:numPr>
        <w:rPr>
          <w:b/>
          <w:sz w:val="22"/>
          <w:szCs w:val="22"/>
        </w:rPr>
      </w:pPr>
    </w:p>
    <w:p w:rsidR="002C5873" w:rsidRDefault="002C5873" w:rsidP="002C58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Prerokované pedagogickou radou dňa</w:t>
      </w:r>
      <w:r w:rsidRPr="002C5873">
        <w:rPr>
          <w:rFonts w:ascii="Times New Roman" w:hAnsi="Times New Roman" w:cs="Times New Roman"/>
          <w:sz w:val="24"/>
          <w:szCs w:val="24"/>
        </w:rPr>
        <w:t xml:space="preserve"> </w:t>
      </w:r>
      <w:r w:rsidR="00FB0800">
        <w:rPr>
          <w:rFonts w:ascii="Times New Roman" w:hAnsi="Times New Roman" w:cs="Times New Roman"/>
          <w:sz w:val="24"/>
          <w:szCs w:val="24"/>
        </w:rPr>
        <w:t>21</w:t>
      </w:r>
      <w:r w:rsidRPr="002C5873">
        <w:rPr>
          <w:rFonts w:ascii="Times New Roman" w:hAnsi="Times New Roman" w:cs="Times New Roman"/>
          <w:sz w:val="24"/>
          <w:szCs w:val="24"/>
        </w:rPr>
        <w:t>.0</w:t>
      </w:r>
      <w:r w:rsidR="00FB080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C5873">
        <w:rPr>
          <w:rFonts w:ascii="Times New Roman" w:hAnsi="Times New Roman" w:cs="Times New Roman"/>
          <w:sz w:val="24"/>
          <w:szCs w:val="24"/>
        </w:rPr>
        <w:t>.20</w:t>
      </w:r>
      <w:r w:rsidR="00FB0800">
        <w:rPr>
          <w:rFonts w:ascii="Times New Roman" w:hAnsi="Times New Roman" w:cs="Times New Roman"/>
          <w:sz w:val="24"/>
          <w:szCs w:val="24"/>
        </w:rPr>
        <w:t>20</w:t>
      </w:r>
    </w:p>
    <w:p w:rsidR="002C5873" w:rsidRPr="002C5873" w:rsidRDefault="002C5873" w:rsidP="002C58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</w:t>
      </w:r>
      <w:r w:rsidRPr="002C5873">
        <w:rPr>
          <w:rFonts w:ascii="Times New Roman" w:hAnsi="Times New Roman" w:cs="Times New Roman"/>
          <w:sz w:val="24"/>
          <w:szCs w:val="24"/>
        </w:rPr>
        <w:t>Mgr. Ľubomír Kopál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873">
        <w:rPr>
          <w:rFonts w:ascii="Times New Roman" w:hAnsi="Times New Roman" w:cs="Times New Roman"/>
          <w:sz w:val="24"/>
          <w:szCs w:val="24"/>
        </w:rPr>
        <w:t xml:space="preserve"> riaditeľ školy</w:t>
      </w:r>
    </w:p>
    <w:p w:rsidR="00780B7E" w:rsidRDefault="00780B7E">
      <w:pPr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b/>
        </w:rPr>
        <w:br w:type="page"/>
      </w:r>
    </w:p>
    <w:p w:rsidR="00780B7E" w:rsidRPr="00780B7E" w:rsidRDefault="00780B7E" w:rsidP="00780B7E">
      <w:pPr>
        <w:pStyle w:val="Zarkazkladnhotextu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B7E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780B7E" w:rsidRPr="00780B7E" w:rsidRDefault="00780B7E" w:rsidP="00780B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Príloha A  Interná smernica jazykovej PK o hodnotení a klasifikácii žiakov </w:t>
      </w:r>
    </w:p>
    <w:p w:rsidR="00780B7E" w:rsidRPr="00780B7E" w:rsidRDefault="00780B7E" w:rsidP="00780B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cudzích jazykov v 1. – 4. ročníku osemročného gymnázia postupujú vyučujúci v súlade s Metodickým pokynom na hodnotenie a klasifikáciu žiakov základných škôl č. 22/2011.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cudzích jazykov </w:t>
      </w:r>
      <w:r w:rsidR="00C07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príslušných seminárov a konverzácií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7.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7E" w:rsidRPr="002C5873" w:rsidRDefault="002C58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80B7E" w:rsidRPr="002C5873">
        <w:rPr>
          <w:rFonts w:ascii="Times New Roman" w:eastAsia="Times New Roman" w:hAnsi="Times New Roman" w:cs="Times New Roman"/>
          <w:sz w:val="24"/>
          <w:szCs w:val="24"/>
          <w:lang w:eastAsia="cs-CZ"/>
        </w:rPr>
        <w:t>yučujúci CJ podľa vlastného uváženia využívajú jeden z nasledovných spôsobov hodnotenia a klasifikácie žiakov:</w:t>
      </w:r>
    </w:p>
    <w:p w:rsidR="00780B7E" w:rsidRDefault="00780B7E" w:rsidP="00A47E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E23" w:rsidRPr="00832806" w:rsidRDefault="00A47E23" w:rsidP="00A47E2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b/>
          <w:sz w:val="24"/>
          <w:szCs w:val="24"/>
        </w:rPr>
        <w:t>Váhový systém hodnotenia</w:t>
      </w:r>
      <w:r w:rsidRPr="0083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23" w:rsidRPr="00832806" w:rsidRDefault="00A47E23" w:rsidP="00A47E2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 xml:space="preserve">využíva pre stanovenie výslednej známky výpočet váženého priemeru </w:t>
      </w:r>
    </w:p>
    <w:p w:rsidR="00A47E23" w:rsidRPr="00832806" w:rsidRDefault="00A47E23" w:rsidP="00A47E2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vážený priemer zohľadňuje váhy jednotlivých známok,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806">
        <w:rPr>
          <w:rFonts w:ascii="Times New Roman" w:hAnsi="Times New Roman" w:cs="Times New Roman"/>
          <w:sz w:val="24"/>
          <w:szCs w:val="24"/>
        </w:rPr>
        <w:t xml:space="preserve">j. dôležitejšia známka má väčšiu váhu </w:t>
      </w:r>
    </w:p>
    <w:p w:rsidR="00A47E23" w:rsidRPr="00832806" w:rsidRDefault="00A47E23" w:rsidP="00A47E2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váha jednotlivých známok pre predmety ANJ, NEJ, FRJ a príslušné semináre a konverzácie z týchto jazykov je stanovená nasledovne:</w:t>
      </w:r>
    </w:p>
    <w:p w:rsidR="00A47E23" w:rsidRPr="00832806" w:rsidRDefault="00A47E23" w:rsidP="00A47E2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47E23" w:rsidRPr="00832806" w:rsidTr="00C41678"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b/>
                <w:sz w:val="24"/>
                <w:szCs w:val="24"/>
              </w:rPr>
              <w:t>Typ skúšania</w:t>
            </w:r>
          </w:p>
        </w:tc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b/>
                <w:sz w:val="24"/>
                <w:szCs w:val="24"/>
              </w:rPr>
              <w:t>Váha známky</w:t>
            </w:r>
          </w:p>
        </w:tc>
      </w:tr>
      <w:tr w:rsidR="00A47E23" w:rsidRPr="00832806" w:rsidTr="00C41678"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sz w:val="24"/>
                <w:szCs w:val="24"/>
              </w:rPr>
              <w:t>Slovíčka, rozcvičky, krátke previerky nového učiva, domáce úlohy, menšie projekty, krátke prezentácie</w:t>
            </w:r>
          </w:p>
        </w:tc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E23" w:rsidRPr="00832806" w:rsidTr="00C41678"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sz w:val="24"/>
                <w:szCs w:val="24"/>
              </w:rPr>
              <w:t>Komplexné ústne odpovede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testy, slohové práce</w:t>
            </w:r>
          </w:p>
        </w:tc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E23" w:rsidRPr="00832806" w:rsidTr="00C41678"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Štvrťročné testy</w:t>
            </w:r>
          </w:p>
        </w:tc>
        <w:tc>
          <w:tcPr>
            <w:tcW w:w="4606" w:type="dxa"/>
          </w:tcPr>
          <w:p w:rsidR="00A47E23" w:rsidRPr="00832806" w:rsidRDefault="00A47E23" w:rsidP="00C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806">
        <w:rPr>
          <w:rFonts w:ascii="Times New Roman" w:hAnsi="Times New Roman" w:cs="Times New Roman"/>
          <w:b/>
          <w:sz w:val="24"/>
          <w:szCs w:val="24"/>
        </w:rPr>
        <w:t>Pre výpočet známok písomných prác sa používa nasledovná stupnica: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100 % - 90 %</w:t>
      </w:r>
      <w:r w:rsidRPr="00832806">
        <w:rPr>
          <w:rFonts w:ascii="Times New Roman" w:hAnsi="Times New Roman" w:cs="Times New Roman"/>
          <w:sz w:val="24"/>
          <w:szCs w:val="24"/>
        </w:rPr>
        <w:tab/>
      </w:r>
      <w:r w:rsidRPr="00832806">
        <w:rPr>
          <w:rFonts w:ascii="Times New Roman" w:hAnsi="Times New Roman" w:cs="Times New Roman"/>
          <w:sz w:val="24"/>
          <w:szCs w:val="24"/>
        </w:rPr>
        <w:tab/>
        <w:t>výborný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89 % - 75 %</w:t>
      </w:r>
      <w:r w:rsidRPr="00832806">
        <w:rPr>
          <w:rFonts w:ascii="Times New Roman" w:hAnsi="Times New Roman" w:cs="Times New Roman"/>
          <w:sz w:val="24"/>
          <w:szCs w:val="24"/>
        </w:rPr>
        <w:tab/>
      </w:r>
      <w:r w:rsidRPr="00832806">
        <w:rPr>
          <w:rFonts w:ascii="Times New Roman" w:hAnsi="Times New Roman" w:cs="Times New Roman"/>
          <w:sz w:val="24"/>
          <w:szCs w:val="24"/>
        </w:rPr>
        <w:tab/>
        <w:t>chválitebný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74% - 63 %</w:t>
      </w:r>
      <w:r w:rsidRPr="00832806">
        <w:rPr>
          <w:rFonts w:ascii="Times New Roman" w:hAnsi="Times New Roman" w:cs="Times New Roman"/>
          <w:sz w:val="24"/>
          <w:szCs w:val="24"/>
        </w:rPr>
        <w:tab/>
      </w:r>
      <w:r w:rsidRPr="00832806">
        <w:rPr>
          <w:rFonts w:ascii="Times New Roman" w:hAnsi="Times New Roman" w:cs="Times New Roman"/>
          <w:sz w:val="24"/>
          <w:szCs w:val="24"/>
        </w:rPr>
        <w:tab/>
        <w:t>dobrý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62% - 50 %</w:t>
      </w:r>
      <w:r w:rsidRPr="00832806">
        <w:rPr>
          <w:rFonts w:ascii="Times New Roman" w:hAnsi="Times New Roman" w:cs="Times New Roman"/>
          <w:sz w:val="24"/>
          <w:szCs w:val="24"/>
        </w:rPr>
        <w:tab/>
      </w:r>
      <w:r w:rsidRPr="00832806">
        <w:rPr>
          <w:rFonts w:ascii="Times New Roman" w:hAnsi="Times New Roman" w:cs="Times New Roman"/>
          <w:sz w:val="24"/>
          <w:szCs w:val="24"/>
        </w:rPr>
        <w:tab/>
        <w:t>dostatočný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49 % – 0 %</w:t>
      </w:r>
      <w:r w:rsidRPr="00832806">
        <w:rPr>
          <w:rFonts w:ascii="Times New Roman" w:hAnsi="Times New Roman" w:cs="Times New Roman"/>
          <w:sz w:val="24"/>
          <w:szCs w:val="24"/>
        </w:rPr>
        <w:tab/>
      </w:r>
      <w:r w:rsidRPr="00832806">
        <w:rPr>
          <w:rFonts w:ascii="Times New Roman" w:hAnsi="Times New Roman" w:cs="Times New Roman"/>
          <w:sz w:val="24"/>
          <w:szCs w:val="24"/>
        </w:rPr>
        <w:tab/>
        <w:t>nedostatočný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23" w:rsidRPr="00832806" w:rsidRDefault="00A47E23" w:rsidP="00A47E23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výsledná známka (Z) na konci školského polroka sa stanoví na základe nasledovného vzťahu:</w:t>
      </w: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1+z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 +… + zk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.1 +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 +z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2+…+zl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.2+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2.zm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k.1 + l.2+m.3 </m:t>
              </m:r>
            </m:den>
          </m:f>
        </m:oMath>
      </m:oMathPara>
    </w:p>
    <w:p w:rsidR="00A47E23" w:rsidRPr="00832806" w:rsidRDefault="00A47E23" w:rsidP="00A47E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E23" w:rsidRPr="00832806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06">
        <w:rPr>
          <w:rFonts w:ascii="Times New Roman" w:hAnsi="Times New Roman" w:cs="Times New Roman"/>
          <w:sz w:val="24"/>
          <w:szCs w:val="24"/>
        </w:rPr>
        <w:t>kde</w:t>
      </w:r>
    </w:p>
    <w:p w:rsidR="00A47E23" w:rsidRPr="00BA4222" w:rsidRDefault="00A47E23" w:rsidP="00A4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4222">
        <w:rPr>
          <w:rFonts w:ascii="Times New Roman" w:hAnsi="Times New Roman" w:cs="Times New Roman"/>
          <w:i/>
          <w:iCs/>
          <w:sz w:val="24"/>
          <w:szCs w:val="24"/>
        </w:rPr>
        <w:t>z1, z2, ...,zk– známky s váhou 1</w:t>
      </w:r>
    </w:p>
    <w:p w:rsidR="00A47E23" w:rsidRPr="00BA4222" w:rsidRDefault="00A47E23" w:rsidP="00A47E2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222">
        <w:rPr>
          <w:rFonts w:ascii="Times New Roman" w:hAnsi="Times New Roman" w:cs="Times New Roman"/>
          <w:i/>
          <w:iCs/>
          <w:sz w:val="24"/>
          <w:szCs w:val="24"/>
        </w:rPr>
        <w:t>z1, z2, ...,zl– známky s váhou 2</w:t>
      </w:r>
    </w:p>
    <w:p w:rsidR="00A47E23" w:rsidRPr="00BA4222" w:rsidRDefault="00A47E23" w:rsidP="00A47E2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222">
        <w:rPr>
          <w:rFonts w:ascii="Times New Roman" w:hAnsi="Times New Roman" w:cs="Times New Roman"/>
          <w:i/>
          <w:iCs/>
          <w:sz w:val="24"/>
          <w:szCs w:val="24"/>
        </w:rPr>
        <w:t>z1, z2, ...,zm– známky s váhou 3</w:t>
      </w:r>
    </w:p>
    <w:p w:rsidR="00A47E23" w:rsidRPr="00832806" w:rsidRDefault="00A47E23" w:rsidP="00A47E2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47E23" w:rsidRPr="00832806" w:rsidRDefault="00A47E23" w:rsidP="00A47E2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806">
        <w:rPr>
          <w:rFonts w:ascii="Times New Roman" w:hAnsi="Times New Roman" w:cs="Times New Roman"/>
          <w:b/>
          <w:sz w:val="24"/>
          <w:szCs w:val="24"/>
        </w:rPr>
        <w:t xml:space="preserve">Bodový systém hodnotenia </w:t>
      </w:r>
    </w:p>
    <w:p w:rsidR="00A47E23" w:rsidRPr="00832806" w:rsidRDefault="00A47E23" w:rsidP="00A47E23">
      <w:pPr>
        <w:pStyle w:val="Odsekzoznamu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 xml:space="preserve">pre vyučujúcich, ktorí používajú tzv. bodové hodnotenie, kde výsledné hodnotenie bude dané percentuálnym ziskom bodov z celkového počtu bodov, platí nasledovná smernica pre výpočet známky: 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>Žiaci získavajú body za jednotlivé povinné aktivity, ktoré tvoria základ (100 %). Takisto žiak môže získať plusové/mínusové body, ktoré nenavyšujú základ, ale zvyšujú počet bodov žiaka. Ich výška je maximálne 10 % zo základu (100 %).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>Povinné aktivity, za ktoré žiak môže získať body: ústne odpovede, testy, slohové práce, hodnotené domáce úlohy, väčšie projekty.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>Plusové body: účasť na súťažiach, nepovinné projekty, aktivita na hodine, dôsledné plnenie DÚ, dôsledná príprava na hodinu, bonusové otázky v testoch...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>Mínusové body: nedostatočná aktivita na hodine, nevypracované DÚ.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832806">
        <w:rPr>
          <w:rFonts w:ascii="Times New Roman" w:hAnsi="Times New Roman" w:cs="Times New Roman"/>
          <w:iCs/>
          <w:sz w:val="24"/>
          <w:szCs w:val="24"/>
        </w:rPr>
        <w:t>Výsledná známka (Z) bude určená na základe vzťahu vyjadreného nasledovným vzorcom a príslušnej hore uvedenej stupnice:</w:t>
      </w: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body za povinné aktivity +bonus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základ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. 100 %</m:t>
          </m:r>
        </m:oMath>
      </m:oMathPara>
    </w:p>
    <w:p w:rsidR="00A47E23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</w:p>
    <w:p w:rsidR="00A47E23" w:rsidRPr="00832806" w:rsidRDefault="00A47E23" w:rsidP="00A47E23">
      <w:pPr>
        <w:rPr>
          <w:rFonts w:ascii="Times New Roman" w:hAnsi="Times New Roman" w:cs="Times New Roman"/>
          <w:iCs/>
          <w:sz w:val="24"/>
          <w:szCs w:val="24"/>
        </w:rPr>
      </w:pPr>
      <w:r w:rsidRPr="001531F8">
        <w:rPr>
          <w:rFonts w:ascii="Times New Roman" w:hAnsi="Times New Roman" w:cs="Times New Roman"/>
          <w:iCs/>
          <w:sz w:val="24"/>
          <w:szCs w:val="24"/>
        </w:rPr>
        <w:t xml:space="preserve">Slohové práce žiakov 4. – 8.  ročníka osemročného gymnázia a 1. – 4. ročníka štvorročného gymnázia sa hodnotia kritériami, ktoré stanovil NÚCEM na opravu PFIČ MS </w:t>
      </w:r>
      <w:r>
        <w:rPr>
          <w:rFonts w:ascii="Times New Roman" w:hAnsi="Times New Roman" w:cs="Times New Roman"/>
          <w:iCs/>
          <w:sz w:val="24"/>
          <w:szCs w:val="24"/>
        </w:rPr>
        <w:t>z cudzích jazykov.</w:t>
      </w:r>
    </w:p>
    <w:p w:rsidR="00A47E23" w:rsidRPr="00A47E23" w:rsidRDefault="00A47E23" w:rsidP="00A47E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7E" w:rsidRPr="00780B7E" w:rsidRDefault="002C5873" w:rsidP="00780B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Príloha</w:t>
      </w:r>
      <w:r w:rsidR="00780B7E"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B  Interná smernica PK SJL o hodnotení a klasifikácii žiakov</w:t>
      </w:r>
    </w:p>
    <w:p w:rsidR="00780B7E" w:rsidRDefault="00780B7E" w:rsidP="002C58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SJL v 1. – 4. ročníku osemročného gymnázia postupujú vyučujúci v súlade s Metodickým pokynom na hodnotenie a klasifikáciu žiakov základných škôl č. 22/2011.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SJL a SSJ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>stredných škôl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21/2011, čl. 6.</w:t>
      </w:r>
    </w:p>
    <w:p w:rsidR="007B6173" w:rsidRPr="00780B7E" w:rsidRDefault="007B6173" w:rsidP="002C58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A47E23" w:rsidRPr="00A47E23" w:rsidRDefault="00A47E23" w:rsidP="00A47E2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PK SJL sa dohodli na váhe jednotlivých známok pri hodnotení nasledovne: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1"/>
        <w:gridCol w:w="2051"/>
      </w:tblGrid>
      <w:tr w:rsidR="00A47E23" w:rsidRPr="00A47E23" w:rsidTr="00C41678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 hodnotím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váha známky</w:t>
            </w:r>
          </w:p>
        </w:tc>
      </w:tr>
      <w:tr w:rsidR="00A47E23" w:rsidRPr="00A47E23" w:rsidTr="00C41678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bleskovka, domáca úloha, diktát, cvičenie, projekt, prezentácia, aktivita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A47E23" w:rsidRPr="00A47E23" w:rsidTr="00C41678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písomná práca po väčšom celku, ústna odpoveď, slohová práca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A47E23" w:rsidRPr="00A47E23" w:rsidTr="00C41678"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z opakovania predošlého školského roku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23" w:rsidRPr="00A47E23" w:rsidRDefault="00A47E23" w:rsidP="00C416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E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</w:tbl>
    <w:p w:rsidR="00A47E23" w:rsidRPr="00A47E23" w:rsidRDefault="00A47E23" w:rsidP="00A47E23">
      <w:pPr>
        <w:pStyle w:val="Odsekzoznamu"/>
        <w:numPr>
          <w:ilvl w:val="0"/>
          <w:numId w:val="33"/>
        </w:numPr>
        <w:spacing w:before="240" w:after="20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výsledná známka na polroku alebo na konci školského roka sa vypočíta podľa nasledovného vzorca:</w:t>
      </w:r>
    </w:p>
    <w:p w:rsid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m:oMath>
        <m:r>
          <w:rPr>
            <w:rFonts w:ascii="Cambria Math" w:eastAsia="Times New Roman" w:hAnsi="Cambria Math" w:cs="Cambria Math"/>
            <w:sz w:val="24"/>
            <w:szCs w:val="24"/>
            <w:lang w:eastAsia="cs-CZ"/>
          </w:rPr>
          <m:t>výsledná známka</m:t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z1+z2+zx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.1+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z1+z2+zx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.2+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cs-C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z1+z2+zx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.3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m:t>počet známok</m:t>
            </m:r>
          </m:den>
        </m:f>
      </m:oMath>
    </w:p>
    <w:p w:rsidR="00A47E23" w:rsidRPr="00A47E23" w:rsidRDefault="00A47E23" w:rsidP="00A47E2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členovia PK SJL budú využívať nasledovné percentuálne hodnotenie veľkých písomiek a diktátov: </w:t>
      </w: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veľké písomky </w:t>
      </w: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100 – 90 %  = 1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89  –  75 %  = 2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74  –  55 %  = 3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54  –  35 %  = 4           34  –   0  %  = 5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diktáty</w:t>
      </w: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1 chyba = 1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2 – 3 chyby = 2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4 – 6 chýb = 3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7 – 9 chýb = 4</w:t>
      </w: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10 -    chýb = 5</w:t>
      </w: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7E23" w:rsidRPr="00A47E23" w:rsidRDefault="00A47E23" w:rsidP="00A47E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Slohové práce</w:t>
      </w:r>
    </w:p>
    <w:p w:rsidR="00A47E23" w:rsidRPr="00A47E23" w:rsidRDefault="00A47E23" w:rsidP="00A47E2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slohové práce žiakov 1. – 3.  ročníka osemročného gymnázia sa hodnotia nasledovne:</w:t>
      </w:r>
    </w:p>
    <w:p w:rsidR="00A47E23" w:rsidRPr="00A47E23" w:rsidRDefault="00A47E23" w:rsidP="00A47E23">
      <w:pPr>
        <w:pStyle w:val="Odsekzoznamu"/>
        <w:numPr>
          <w:ilvl w:val="1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> slohová práca sa hodnotí z troch hľadísk: sloh, úprava, pravopis, za ktoré žiak dostane tri rovnocenné čiastkové známky, z týchto vyučujúci udelí konečnú známku</w:t>
      </w:r>
    </w:p>
    <w:p w:rsidR="00A47E23" w:rsidRPr="00A47E23" w:rsidRDefault="00A47E23" w:rsidP="00A47E2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7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slohové práce žiakov 4. – 8.  ročníka osemročného gymnázia a 1. – 4. ročníka štvorročného gymnázia sa hodnotia kritériami, ktoré stanovil NÚCEM na opravu PFIČ MS zo SJL </w:t>
      </w:r>
    </w:p>
    <w:p w:rsidR="00733DB3" w:rsidRPr="00A47E23" w:rsidRDefault="00733DB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0B7E" w:rsidRPr="00780B7E" w:rsidRDefault="00780B7E" w:rsidP="002C5873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>Príloha C  Interná smernica humanitnej PK o hodnotení a klasifikácii žiakov</w:t>
      </w:r>
    </w:p>
    <w:p w:rsidR="00780B7E" w:rsidRPr="00780B7E" w:rsidRDefault="00780B7E" w:rsidP="007B61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80B7E" w:rsidRPr="00780B7E" w:rsidRDefault="00780B7E" w:rsidP="00780B7E">
      <w:pPr>
        <w:pStyle w:val="Odsekzoznamu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Hodnotenie predmetu dejepis </w:t>
      </w:r>
      <w:r w:rsidR="007B6173">
        <w:rPr>
          <w:rFonts w:ascii="Times New Roman" w:hAnsi="Times New Roman" w:cs="Times New Roman"/>
          <w:b/>
          <w:sz w:val="24"/>
          <w:szCs w:val="24"/>
          <w:lang w:eastAsia="cs-CZ"/>
        </w:rPr>
        <w:t>a seminár z dejepisu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predmetu dejepis v 1. – 4. ročníku osemročného gymnázia postupujú vyučujúci v súlade s Metodickým pokynom na hodnotenie a klasifikáciu žiakov základných škôl č. 22/2011.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dejepis a seminár z dejepisu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8.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Metódy hodnotenia:</w:t>
      </w:r>
      <w:r w:rsidRPr="004E583C">
        <w:rPr>
          <w:rFonts w:ascii="Times New Roman" w:hAnsi="Times New Roman" w:cs="Times New Roman"/>
          <w:color w:val="000000"/>
          <w:sz w:val="24"/>
          <w:szCs w:val="24"/>
        </w:rPr>
        <w:t xml:space="preserve"> písomné skúšanie, individuálne ústne skúšanie, frontálne ústne skúšanie, praktické skúšanie (používanie</w:t>
      </w:r>
      <w:r w:rsidRPr="004E5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583C">
        <w:rPr>
          <w:rFonts w:ascii="Times New Roman" w:hAnsi="Times New Roman" w:cs="Times New Roman"/>
          <w:color w:val="000000"/>
          <w:sz w:val="24"/>
          <w:szCs w:val="24"/>
        </w:rPr>
        <w:t>školských historických písomných, obrazových, grafických a hmotných prameňov).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Prostriedky hodnotenia:</w:t>
      </w:r>
      <w:r w:rsidRPr="004E583C">
        <w:rPr>
          <w:rFonts w:ascii="Times New Roman" w:hAnsi="Times New Roman" w:cs="Times New Roman"/>
          <w:color w:val="000000"/>
          <w:sz w:val="24"/>
          <w:szCs w:val="24"/>
        </w:rPr>
        <w:t xml:space="preserve"> štandardizované i neštandardizované didaktické testy (testy s dlhšou respektíve krátkou odpoveďou alebo testy s výberom odpovede), ústne odpovede, slohové práce, praktické cvičenia (práca s prameňmi).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color w:val="000000"/>
          <w:sz w:val="24"/>
          <w:szCs w:val="24"/>
        </w:rPr>
        <w:t>Na základe dohody učiteľov spoločenskovedných predmetov na zasadnutí predmetovej komisie bolo stanovené nasledovné percentuálne hodnotenie písomných testov:</w:t>
      </w:r>
    </w:p>
    <w:p w:rsidR="004E542B" w:rsidRPr="004E542B" w:rsidRDefault="004E542B" w:rsidP="004E542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42B">
        <w:rPr>
          <w:rFonts w:ascii="Times New Roman" w:hAnsi="Times New Roman" w:cs="Times New Roman"/>
          <w:color w:val="000000"/>
          <w:sz w:val="24"/>
          <w:szCs w:val="24"/>
        </w:rPr>
        <w:t>100-90 = 1</w:t>
      </w:r>
      <w:r w:rsidRPr="004E542B">
        <w:rPr>
          <w:rFonts w:ascii="Times New Roman" w:hAnsi="Times New Roman" w:cs="Times New Roman"/>
          <w:color w:val="000000"/>
          <w:sz w:val="24"/>
          <w:szCs w:val="24"/>
        </w:rPr>
        <w:br/>
        <w:t>89-75 = 2</w:t>
      </w:r>
      <w:r w:rsidRPr="004E542B">
        <w:rPr>
          <w:rFonts w:ascii="Times New Roman" w:hAnsi="Times New Roman" w:cs="Times New Roman"/>
          <w:color w:val="000000"/>
          <w:sz w:val="24"/>
          <w:szCs w:val="24"/>
        </w:rPr>
        <w:br/>
        <w:t>74-55 = 3</w:t>
      </w:r>
      <w:r w:rsidRPr="004E542B">
        <w:rPr>
          <w:rFonts w:ascii="Times New Roman" w:hAnsi="Times New Roman" w:cs="Times New Roman"/>
          <w:color w:val="000000"/>
          <w:sz w:val="24"/>
          <w:szCs w:val="24"/>
        </w:rPr>
        <w:br/>
        <w:t>54-35 = 4</w:t>
      </w:r>
      <w:r w:rsidRPr="004E542B">
        <w:rPr>
          <w:rFonts w:ascii="Times New Roman" w:hAnsi="Times New Roman" w:cs="Times New Roman"/>
          <w:color w:val="000000"/>
          <w:sz w:val="24"/>
          <w:szCs w:val="24"/>
        </w:rPr>
        <w:br/>
        <w:t>34-0 = 5 </w:t>
      </w:r>
    </w:p>
    <w:p w:rsidR="004E542B" w:rsidRDefault="004E542B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583C">
        <w:rPr>
          <w:rFonts w:ascii="Times New Roman" w:hAnsi="Times New Roman" w:cs="Times New Roman"/>
          <w:b/>
          <w:bCs/>
          <w:color w:val="00000A"/>
          <w:sz w:val="24"/>
          <w:szCs w:val="24"/>
        </w:rPr>
        <w:t>Učitelia budú rozlišovať váhu známok nasledovne</w:t>
      </w:r>
      <w:r w:rsidRPr="004E583C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583C">
        <w:rPr>
          <w:rFonts w:ascii="Times New Roman" w:hAnsi="Times New Roman" w:cs="Times New Roman"/>
          <w:color w:val="00000A"/>
          <w:sz w:val="24"/>
          <w:szCs w:val="24"/>
        </w:rPr>
        <w:t>váha 0,5 – aktivita rôzneho druhu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583C">
        <w:rPr>
          <w:rFonts w:ascii="Times New Roman" w:hAnsi="Times New Roman" w:cs="Times New Roman"/>
          <w:color w:val="00000A"/>
          <w:sz w:val="24"/>
          <w:szCs w:val="24"/>
        </w:rPr>
        <w:t>váha 1 – odpoveď, malá písomka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A"/>
          <w:sz w:val="24"/>
          <w:szCs w:val="24"/>
          <w:lang w:val="en-US"/>
        </w:rPr>
        <w:t>váha 2 – veľká písomka</w:t>
      </w:r>
    </w:p>
    <w:p w:rsidR="00780B7E" w:rsidRPr="00780B7E" w:rsidRDefault="00780B7E" w:rsidP="002C58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80B7E" w:rsidRPr="00780B7E" w:rsidRDefault="00780B7E" w:rsidP="00780B7E">
      <w:pPr>
        <w:pStyle w:val="Odsekzoznamu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>Hodnotenie predmetu OBN</w:t>
      </w:r>
      <w:r w:rsidR="007B6173">
        <w:rPr>
          <w:rFonts w:ascii="Times New Roman" w:hAnsi="Times New Roman" w:cs="Times New Roman"/>
          <w:b/>
          <w:sz w:val="24"/>
          <w:szCs w:val="24"/>
          <w:lang w:eastAsia="cs-CZ"/>
        </w:rPr>
        <w:t>, DEF a SVS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predmetu občianska náuka v 1. – 4. ročníku osemročného gymnázia postupujú vyučujúci v súlade s Metodickým pokynom na hodnotenie a klasifikáciu žiakov základných škôl č. 22/2011.</w:t>
      </w:r>
    </w:p>
    <w:p w:rsidR="007B6173" w:rsidRDefault="007B6173" w:rsidP="007B6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73" w:rsidRDefault="007B6173" w:rsidP="00C07E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občianska náuka, spoločenskovedný seminár a dejiny filozofie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8.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E583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Vyučujúci používajú tzv. bodové hodnotenie písomného a ústneho skúšania. Výsledné hodnotenie bude dané percentuálnym ziskom bodov z celkového počtu bodov.  </w:t>
      </w:r>
      <w:r w:rsidRPr="004E583C">
        <w:rPr>
          <w:rFonts w:ascii="Times New Roman" w:hAnsi="Times New Roman" w:cs="Times New Roman"/>
          <w:color w:val="00000A"/>
          <w:sz w:val="24"/>
          <w:szCs w:val="24"/>
        </w:rPr>
        <w:t>Žiaci získavajú body za jednotlivé povinné aktivity, ktoré tvoria základ (100 %). Takisto žiak môže získať tzv. bonusové body, ktoré nenavyšujú základ, ale zvyšujú počet bodov žiaka. Ich výška je maximálne 10 % zo základu (100 %).</w:t>
      </w:r>
      <w:r w:rsidRPr="004E583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4E583C">
        <w:rPr>
          <w:rFonts w:ascii="Times New Roman" w:hAnsi="Times New Roman" w:cs="Times New Roman"/>
          <w:color w:val="00000A"/>
          <w:sz w:val="24"/>
          <w:szCs w:val="24"/>
        </w:rPr>
        <w:t>Výsledná známka (Z) bude určená na základe vzťahu vyjadreného nasledovným vzorcom a pod ním uvedenej stupnice:</w:t>
      </w:r>
    </w:p>
    <w:p w:rsidR="00780B7E" w:rsidRPr="00780B7E" w:rsidRDefault="00780B7E" w:rsidP="00780B7E">
      <w:pPr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eastAsia="cs-CZ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body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za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povinn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 xml:space="preserve">é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aktivity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 xml:space="preserve"> 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bonus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á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eastAsia="cs-CZ"/>
                </w:rPr>
                <m:t>klad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cs-CZ"/>
            </w:rPr>
            <m:t xml:space="preserve">.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eastAsia="cs-CZ"/>
            </w:rPr>
            <m:t>100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cs-CZ"/>
            </w:rPr>
            <m:t xml:space="preserve"> %</m:t>
          </m:r>
        </m:oMath>
      </m:oMathPara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Pre určenie známky platí stupnica: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100 – 90 % = 1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89 – 75 % = 2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74 – 55 % = 3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 xml:space="preserve">54 - </w:t>
      </w:r>
      <w:r w:rsidR="00FB0800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35</w:t>
      </w: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 xml:space="preserve"> % = 4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3</w:t>
      </w:r>
      <w:r w:rsidR="00FB0800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>4</w:t>
      </w:r>
      <w:r w:rsidRPr="00780B7E"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  <w:t xml:space="preserve"> - 0 % = 5</w:t>
      </w:r>
    </w:p>
    <w:p w:rsidR="00780B7E" w:rsidRPr="00780B7E" w:rsidRDefault="00780B7E" w:rsidP="002C58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80B7E" w:rsidRPr="00780B7E" w:rsidRDefault="00780B7E" w:rsidP="00780B7E">
      <w:pPr>
        <w:pStyle w:val="Odsekzoznamu"/>
        <w:numPr>
          <w:ilvl w:val="0"/>
          <w:numId w:val="30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>Hodnotenie predmetu geografia</w:t>
      </w:r>
      <w:r w:rsidR="00C07EE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 seminár z geografie</w:t>
      </w: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predmetu geografia v 1. – 4. ročníku osemročného gymnázia postupujú vyučujúci v súlade s Metodickým pokynom na hodnotenie a klasifikáciu žiakov základných škôl č. 22/2011.</w:t>
      </w:r>
    </w:p>
    <w:p w:rsidR="00C07EE4" w:rsidRDefault="00C07EE4" w:rsidP="00733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geografia a seminár z geografie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8.</w:t>
      </w:r>
    </w:p>
    <w:p w:rsidR="00C07EE4" w:rsidRPr="004E583C" w:rsidRDefault="00C07EE4" w:rsidP="00733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B7E" w:rsidRPr="004E583C" w:rsidRDefault="00780B7E" w:rsidP="00733DB3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color w:val="000000"/>
          <w:sz w:val="24"/>
          <w:szCs w:val="24"/>
        </w:rPr>
        <w:t>Na základe dohody učiteľov spoločenskovedných predmetov na zasadnutí predmetovej komisie bolo stanovené nasledovné percentuálne hodnotenie písomných testov z geografie</w:t>
      </w:r>
      <w:r w:rsidR="00EB6B65" w:rsidRPr="004E583C">
        <w:rPr>
          <w:rFonts w:ascii="Times New Roman" w:hAnsi="Times New Roman" w:cs="Times New Roman"/>
          <w:color w:val="000000"/>
          <w:sz w:val="24"/>
          <w:szCs w:val="24"/>
        </w:rPr>
        <w:t xml:space="preserve"> a seminára z geografie</w:t>
      </w:r>
      <w:r w:rsidRPr="004E58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0"/>
          <w:sz w:val="24"/>
          <w:szCs w:val="24"/>
          <w:lang w:val="en-US"/>
        </w:rPr>
        <w:t>100 – 90 % = 1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89 – 75 % = 2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74 – 50 % = 3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49 – 30 % = 4</w:t>
      </w: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29 –   0 % = 5</w:t>
      </w:r>
    </w:p>
    <w:p w:rsidR="00C07EE4" w:rsidRPr="00C07EE4" w:rsidRDefault="00C07EE4" w:rsidP="00C07EE4">
      <w:pPr>
        <w:pStyle w:val="Standard"/>
        <w:ind w:left="720"/>
        <w:jc w:val="both"/>
      </w:pPr>
    </w:p>
    <w:p w:rsidR="00780B7E" w:rsidRPr="00780B7E" w:rsidRDefault="00780B7E" w:rsidP="00780B7E">
      <w:pPr>
        <w:pStyle w:val="Standard"/>
        <w:numPr>
          <w:ilvl w:val="0"/>
          <w:numId w:val="30"/>
        </w:numPr>
        <w:jc w:val="both"/>
      </w:pPr>
      <w:r w:rsidRPr="00780B7E">
        <w:rPr>
          <w:b/>
        </w:rPr>
        <w:t>Hodnotenie výchovných predmetov</w:t>
      </w:r>
      <w:r w:rsidR="002C5873">
        <w:rPr>
          <w:b/>
        </w:rPr>
        <w:t xml:space="preserve"> </w:t>
      </w:r>
      <w:r w:rsidR="00C07EE4">
        <w:rPr>
          <w:b/>
        </w:rPr>
        <w:t>(hudobná výchova, telesná výchova, výtvarná výchova)</w:t>
      </w:r>
    </w:p>
    <w:p w:rsidR="00780B7E" w:rsidRPr="00780B7E" w:rsidRDefault="00780B7E" w:rsidP="00780B7E">
      <w:pPr>
        <w:pStyle w:val="Standard"/>
        <w:ind w:left="720"/>
        <w:jc w:val="both"/>
      </w:pP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predmetu hudobná, výtvarná a telesná výchova v 1. – 4. ročníku osemročného gymnázia postupujú vyučujúci v súlade s Metodickým pokynom na hodnotenie a klasifikáciu žiakov základných škôl č. 22/2011.</w:t>
      </w: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hudobná, výtvarná a telesná výchova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13, 14 a 16.</w:t>
      </w:r>
    </w:p>
    <w:p w:rsidR="00C07EE4" w:rsidRPr="004E583C" w:rsidRDefault="00C07EE4" w:rsidP="00780B7E">
      <w:pPr>
        <w:pStyle w:val="Standard"/>
        <w:spacing w:line="360" w:lineRule="auto"/>
        <w:jc w:val="both"/>
        <w:rPr>
          <w:color w:val="000000"/>
          <w:kern w:val="0"/>
        </w:rPr>
      </w:pPr>
    </w:p>
    <w:p w:rsidR="00780B7E" w:rsidRPr="004E583C" w:rsidRDefault="00780B7E" w:rsidP="00780B7E">
      <w:pPr>
        <w:pStyle w:val="Standard"/>
        <w:spacing w:line="360" w:lineRule="auto"/>
        <w:jc w:val="both"/>
        <w:rPr>
          <w:color w:val="000000"/>
          <w:kern w:val="0"/>
        </w:rPr>
      </w:pPr>
      <w:r w:rsidRPr="004E583C">
        <w:rPr>
          <w:color w:val="000000"/>
          <w:kern w:val="0"/>
        </w:rPr>
        <w:t xml:space="preserve">Výchovy (hudobná výchova, výtvarná výchova, telesná výchova) sú hodnotené stupňami absolvoval alebo neabsolvoval. Žiak absolvuje predmet, ak splní učiteľom dopredu stanovené podmienky. Základnými  podmienkami je účasť a aktivita na hodinách v spojení s vypracovaním projektu alebo prezentácie, prípadne účasť na výstavách, besedách či divadelných predstaveniach. Presné podmienky stanovuje každý učiteľ individuálne pre </w:t>
      </w:r>
      <w:r w:rsidR="00733DB3" w:rsidRPr="004E583C">
        <w:rPr>
          <w:color w:val="000000"/>
          <w:kern w:val="0"/>
        </w:rPr>
        <w:t xml:space="preserve">danú </w:t>
      </w:r>
      <w:r w:rsidRPr="004E583C">
        <w:rPr>
          <w:color w:val="000000"/>
          <w:kern w:val="0"/>
        </w:rPr>
        <w:t>triedu a žiaci sú o nich na začiatku školského roka podrobne informovaní.  Z vážnych zdravotných dôvodov môže byť žiak oslobodený  od telesnej výchovy. V takom prípade je potrebné doložiť potvrdenie od ošetrujúceho  lekára.</w:t>
      </w:r>
    </w:p>
    <w:p w:rsidR="00780B7E" w:rsidRPr="004E583C" w:rsidRDefault="00780B7E" w:rsidP="00780B7E">
      <w:pPr>
        <w:pStyle w:val="Standard"/>
        <w:spacing w:line="360" w:lineRule="auto"/>
        <w:jc w:val="both"/>
        <w:rPr>
          <w:color w:val="000000"/>
          <w:kern w:val="0"/>
        </w:rPr>
      </w:pPr>
    </w:p>
    <w:p w:rsidR="00780B7E" w:rsidRPr="00780B7E" w:rsidRDefault="00780B7E" w:rsidP="00780B7E">
      <w:pPr>
        <w:pStyle w:val="Standard"/>
        <w:numPr>
          <w:ilvl w:val="0"/>
          <w:numId w:val="30"/>
        </w:numPr>
        <w:spacing w:line="360" w:lineRule="auto"/>
        <w:jc w:val="both"/>
        <w:rPr>
          <w:b/>
          <w:color w:val="000000"/>
          <w:kern w:val="0"/>
          <w:lang w:val="en-US"/>
        </w:rPr>
      </w:pPr>
      <w:r w:rsidRPr="00780B7E">
        <w:rPr>
          <w:b/>
          <w:color w:val="000000"/>
          <w:kern w:val="0"/>
          <w:lang w:val="en-US"/>
        </w:rPr>
        <w:t xml:space="preserve">Hodnotenie predmetu </w:t>
      </w:r>
      <w:r w:rsidR="00733DB3">
        <w:rPr>
          <w:b/>
          <w:color w:val="000000"/>
          <w:kern w:val="0"/>
          <w:lang w:val="en-US"/>
        </w:rPr>
        <w:t xml:space="preserve">výchova umením, </w:t>
      </w:r>
      <w:r w:rsidRPr="00780B7E">
        <w:rPr>
          <w:b/>
          <w:color w:val="000000"/>
          <w:kern w:val="0"/>
          <w:lang w:val="en-US"/>
        </w:rPr>
        <w:t>umenie a kultúra</w:t>
      </w:r>
    </w:p>
    <w:p w:rsidR="00780B7E" w:rsidRPr="00780B7E" w:rsidRDefault="00780B7E" w:rsidP="00780B7E">
      <w:pPr>
        <w:pStyle w:val="Standard"/>
        <w:spacing w:line="360" w:lineRule="auto"/>
        <w:jc w:val="both"/>
        <w:rPr>
          <w:color w:val="000000"/>
          <w:kern w:val="0"/>
          <w:lang w:val="en-US"/>
        </w:rPr>
      </w:pP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výchova umením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1. – 4. ročníku osemročného gymnázia postupujú vyučujúci v súlade s Metodickým pokynom na hodnotenie a klasifikáciu žiakov základných škôl č. 22/2011.</w:t>
      </w: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umenie a kultúra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 12 a 13.</w:t>
      </w:r>
    </w:p>
    <w:p w:rsidR="00C07EE4" w:rsidRPr="004E583C" w:rsidRDefault="00C07EE4" w:rsidP="00C07EE4">
      <w:pPr>
        <w:pStyle w:val="Standard"/>
        <w:spacing w:line="360" w:lineRule="auto"/>
        <w:jc w:val="both"/>
        <w:rPr>
          <w:color w:val="000000"/>
          <w:kern w:val="0"/>
        </w:rPr>
      </w:pPr>
    </w:p>
    <w:p w:rsidR="00780B7E" w:rsidRPr="00780B7E" w:rsidRDefault="00733DB3" w:rsidP="00733DB3">
      <w:pPr>
        <w:pStyle w:val="Standard"/>
        <w:spacing w:line="360" w:lineRule="auto"/>
        <w:jc w:val="both"/>
      </w:pPr>
      <w:r>
        <w:t>Predmety umenie a kultúra a výchova umením sú</w:t>
      </w:r>
      <w:r w:rsidR="00780B7E" w:rsidRPr="00780B7E">
        <w:t xml:space="preserve"> klasifikovan</w:t>
      </w:r>
      <w:r>
        <w:t>é</w:t>
      </w:r>
      <w:r w:rsidR="00780B7E" w:rsidRPr="00780B7E">
        <w:t xml:space="preserve"> predmet</w:t>
      </w:r>
      <w:r>
        <w:t>y</w:t>
      </w:r>
      <w:r w:rsidR="00780B7E" w:rsidRPr="00780B7E">
        <w:t xml:space="preserve">. </w:t>
      </w:r>
      <w:r>
        <w:t>Ich h</w:t>
      </w:r>
      <w:r w:rsidR="00780B7E" w:rsidRPr="00780B7E">
        <w:t xml:space="preserve">odnotenie je postavené na troch základných prvkoch v presne stanovenom pomere: </w:t>
      </w:r>
    </w:p>
    <w:p w:rsidR="00780B7E" w:rsidRPr="00780B7E" w:rsidRDefault="00780B7E" w:rsidP="002C5873">
      <w:pPr>
        <w:pStyle w:val="Standard"/>
        <w:spacing w:line="360" w:lineRule="auto"/>
      </w:pPr>
      <w:r w:rsidRPr="00780B7E">
        <w:t>20% aktivita na hodinách</w:t>
      </w:r>
      <w:r w:rsidR="002C5873">
        <w:t>,</w:t>
      </w:r>
    </w:p>
    <w:p w:rsidR="00780B7E" w:rsidRPr="00780B7E" w:rsidRDefault="00780B7E" w:rsidP="002C5873">
      <w:pPr>
        <w:pStyle w:val="Standard"/>
        <w:spacing w:line="360" w:lineRule="auto"/>
      </w:pPr>
      <w:r w:rsidRPr="00780B7E">
        <w:t>30% účasť na dohodnutých kultúrnych podujatiach (divadlo, opera, galéria...)</w:t>
      </w:r>
      <w:r w:rsidR="002C5873">
        <w:t>,</w:t>
      </w:r>
    </w:p>
    <w:p w:rsidR="00780B7E" w:rsidRPr="00780B7E" w:rsidRDefault="00780B7E" w:rsidP="002C5873">
      <w:pPr>
        <w:pStyle w:val="Standard"/>
        <w:spacing w:line="360" w:lineRule="auto"/>
      </w:pPr>
      <w:r w:rsidRPr="00780B7E">
        <w:t>50% vypracovanie zadaných referátov a</w:t>
      </w:r>
      <w:r w:rsidR="002C5873">
        <w:t> </w:t>
      </w:r>
      <w:r w:rsidRPr="00780B7E">
        <w:t>projektov</w:t>
      </w:r>
      <w:r w:rsidR="002C5873">
        <w:t>.</w:t>
      </w:r>
    </w:p>
    <w:p w:rsidR="00780B7E" w:rsidRPr="00780B7E" w:rsidRDefault="00780B7E" w:rsidP="002C5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B7E" w:rsidRPr="00780B7E" w:rsidRDefault="00780B7E" w:rsidP="00780B7E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80B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Hodnotenie predmetu KNB</w:t>
      </w: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 hodnotení a klasifikácii predmetu katolícke náboženstvo v 1. – 4. ročníku osemročného gymnázia postupujú vyučujúci v súlade s Metodickým pokynom na hodnotenie a klasifikáciu žiakov základných škôl č. 22/2011.</w:t>
      </w:r>
    </w:p>
    <w:p w:rsidR="00C07EE4" w:rsidRDefault="00C07EE4" w:rsidP="00C0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EE4" w:rsidRDefault="00C07EE4" w:rsidP="00C07EE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hodnotení a klasifikácii predmetu katolícke náboženstvo v 5. – 8.  ročníku osemročného gymnázia a 1. – 4. ročníku štvorročného gymnázia postupujú vyučujúci v súlade s Metodickým pokynom na hodnotenie a klasifikáciu žiakov </w:t>
      </w:r>
      <w:r w:rsidR="00733D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stredných škôl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 21/2011, čl.15.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color w:val="000000"/>
          <w:sz w:val="24"/>
          <w:szCs w:val="24"/>
        </w:rPr>
        <w:t>Väčšia váha známky: písomky z tematického celku, z riešenia triedneho kola Biblickej olympiády, odpovede, veľké a dlhodobé projekty.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color w:val="000000"/>
          <w:sz w:val="24"/>
          <w:szCs w:val="24"/>
        </w:rPr>
        <w:t>Nižšia váha známky: bleskovky (napr. Desatoro a pod.), jednoduché projekty a práce, známka „za aktivitu“.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83C">
        <w:rPr>
          <w:rFonts w:ascii="Times New Roman" w:hAnsi="Times New Roman" w:cs="Times New Roman"/>
          <w:color w:val="000000"/>
          <w:sz w:val="24"/>
          <w:szCs w:val="24"/>
        </w:rPr>
        <w:t xml:space="preserve">Každý vyučujúci bude mať počas polroka aspoň </w:t>
      </w:r>
      <w:r w:rsidR="002C5873" w:rsidRPr="004E58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583C">
        <w:rPr>
          <w:rFonts w:ascii="Times New Roman" w:hAnsi="Times New Roman" w:cs="Times New Roman"/>
          <w:color w:val="000000"/>
          <w:sz w:val="24"/>
          <w:szCs w:val="24"/>
        </w:rPr>
        <w:t xml:space="preserve"> známky na žiaka z preberaného učiva (písomka alebo odpoveď).</w:t>
      </w:r>
    </w:p>
    <w:p w:rsidR="00780B7E" w:rsidRPr="00780B7E" w:rsidRDefault="00780B7E" w:rsidP="00780B7E">
      <w:pPr>
        <w:pStyle w:val="Standard"/>
        <w:jc w:val="both"/>
        <w:rPr>
          <w:b/>
          <w:u w:val="single"/>
        </w:rPr>
      </w:pPr>
    </w:p>
    <w:p w:rsidR="00780B7E" w:rsidRPr="004E583C" w:rsidRDefault="00780B7E" w:rsidP="00780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u w:color="00000A"/>
        </w:rPr>
      </w:pPr>
    </w:p>
    <w:p w:rsidR="002C5873" w:rsidRDefault="002C5873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br w:type="page"/>
      </w:r>
    </w:p>
    <w:p w:rsidR="00780B7E" w:rsidRPr="00780B7E" w:rsidRDefault="00780B7E" w:rsidP="00780B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80B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Príloha D  Interná smernica prírodovednej PK o hodnotení a klasifikácii žiakov </w:t>
      </w:r>
    </w:p>
    <w:p w:rsidR="00780B7E" w:rsidRPr="004E583C" w:rsidRDefault="00780B7E" w:rsidP="00780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4"/>
          <w:szCs w:val="24"/>
          <w:u w:color="00000A"/>
        </w:rPr>
      </w:pPr>
    </w:p>
    <w:p w:rsidR="003E67A0" w:rsidRPr="005233B9" w:rsidRDefault="003E67A0" w:rsidP="003E67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Pri hodnotení a klasifikácii predmetov vzdelávacej oblasti Človek a príroda a Matematika a práca s informáciami v 1. – 4. ročníku osemročného gymnázia postupujú vyučujúci v súlade s Metodickým pokynom na hodnotenie a klasifikáciu žiakov základných škôl č. 22/2011.</w:t>
      </w:r>
    </w:p>
    <w:p w:rsidR="003E67A0" w:rsidRPr="005233B9" w:rsidRDefault="003E67A0" w:rsidP="003E67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Pri hodnotení a klasifikácii predmetov vzdelávacej oblasti Človek a príroda v 5. – 8.  ročníku osemročného gymnázia a 1. – 4. ročníku štvorročného gymnázia</w:t>
      </w:r>
      <w:r>
        <w:rPr>
          <w:rFonts w:ascii="Times New Roman" w:hAnsi="Times New Roman" w:cs="Times New Roman"/>
        </w:rPr>
        <w:t xml:space="preserve"> postupujú vyučujúci v súlade s </w:t>
      </w:r>
      <w:r w:rsidRPr="005233B9">
        <w:rPr>
          <w:rFonts w:ascii="Times New Roman" w:hAnsi="Times New Roman" w:cs="Times New Roman"/>
        </w:rPr>
        <w:t>Metodickým pokynom na hodnotenie a klasifikáciu žiakov stredných škôl č. 21/2011, čl. 9.</w:t>
      </w:r>
    </w:p>
    <w:p w:rsidR="003E67A0" w:rsidRPr="005233B9" w:rsidRDefault="003E67A0" w:rsidP="003E67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Pri hodnotení a klasifikácii predmetov matematika, seminár z matematiky a cvičenia z matematiky v 5. – 8.  ročníku osemročného gymnázia a 1. – 4. ročníku štvorročného gymnázia postupujú vyučujúci v súlade s Metodickým pokynom na hodnotenie a klasifikáciu žiakov na strednej škole č. 21/2011, čl. 10.</w:t>
      </w:r>
    </w:p>
    <w:p w:rsidR="003E67A0" w:rsidRPr="005233B9" w:rsidRDefault="003E67A0" w:rsidP="003E67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Pri hodnotení a klasifikácii predmet informatika, seminár z informatiky a cvičenia z informatiky v 5. – 8.  ročníku osemročného gymnázia a 1. – 4. ročníku štvorročného gymnázia postupujú vyučujúci v súlade s Metodickým pokynom na hodnotenie a klasifikáciu žiakov stredných škôl č. 21/2011, čl. 11.</w:t>
      </w:r>
    </w:p>
    <w:p w:rsidR="003E67A0" w:rsidRDefault="003E67A0" w:rsidP="003E67A0">
      <w:pPr>
        <w:spacing w:line="360" w:lineRule="auto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So spôsobom klasifikácie vyučujúci oboznámi žiakov na začiatku školského roka. Žiaci sú hodnotení známkou alebo bodovo s následným prepočtom na známku.</w:t>
      </w:r>
    </w:p>
    <w:p w:rsidR="003E67A0" w:rsidRPr="005233B9" w:rsidRDefault="003E67A0" w:rsidP="003E67A0">
      <w:pPr>
        <w:spacing w:line="360" w:lineRule="auto"/>
        <w:rPr>
          <w:rFonts w:ascii="Times New Roman" w:hAnsi="Times New Roman" w:cs="Times New Roman"/>
        </w:rPr>
      </w:pPr>
    </w:p>
    <w:p w:rsidR="003E67A0" w:rsidRPr="005233B9" w:rsidRDefault="003E67A0" w:rsidP="003E67A0">
      <w:pPr>
        <w:spacing w:line="360" w:lineRule="auto"/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>Pre výpočet známok písomných prác sa používa nasledujúca stupnica:</w:t>
      </w:r>
    </w:p>
    <w:p w:rsidR="003E67A0" w:rsidRPr="005233B9" w:rsidRDefault="003E67A0" w:rsidP="003E67A0">
      <w:pPr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 xml:space="preserve">100% – 90%    výborný </w:t>
      </w:r>
    </w:p>
    <w:p w:rsidR="003E67A0" w:rsidRPr="005233B9" w:rsidRDefault="003E67A0" w:rsidP="003E67A0">
      <w:pPr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 xml:space="preserve">89% – 75%      chválitebný </w:t>
      </w:r>
    </w:p>
    <w:p w:rsidR="003E67A0" w:rsidRPr="005233B9" w:rsidRDefault="003E67A0" w:rsidP="003E67A0">
      <w:pPr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 xml:space="preserve">74% – 60%      dobrý  </w:t>
      </w:r>
    </w:p>
    <w:p w:rsidR="003E67A0" w:rsidRPr="005233B9" w:rsidRDefault="003E67A0" w:rsidP="003E67A0">
      <w:pPr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 xml:space="preserve">59% – 40%      dostatočný </w:t>
      </w:r>
    </w:p>
    <w:p w:rsidR="003E67A0" w:rsidRPr="005233B9" w:rsidRDefault="003E67A0" w:rsidP="003E67A0">
      <w:pPr>
        <w:rPr>
          <w:rFonts w:ascii="Times New Roman" w:hAnsi="Times New Roman" w:cs="Times New Roman"/>
        </w:rPr>
      </w:pPr>
      <w:r w:rsidRPr="005233B9">
        <w:rPr>
          <w:rFonts w:ascii="Times New Roman" w:hAnsi="Times New Roman" w:cs="Times New Roman"/>
        </w:rPr>
        <w:t xml:space="preserve">39% – 0%        nedostatočný  </w:t>
      </w:r>
    </w:p>
    <w:p w:rsidR="003E67A0" w:rsidRDefault="003E67A0" w:rsidP="003E67A0">
      <w:pPr>
        <w:rPr>
          <w:rFonts w:ascii="Times New Roman" w:hAnsi="Times New Roman" w:cs="Times New Roman"/>
          <w:sz w:val="24"/>
          <w:szCs w:val="24"/>
        </w:rPr>
      </w:pPr>
    </w:p>
    <w:p w:rsidR="00780B7E" w:rsidRPr="00780B7E" w:rsidRDefault="00780B7E" w:rsidP="00780B7E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B7E" w:rsidRPr="00780B7E" w:rsidRDefault="00780B7E" w:rsidP="00780B7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0B7E" w:rsidRPr="00780B7E" w:rsidRDefault="00780B7E" w:rsidP="00780B7E">
      <w:pPr>
        <w:pStyle w:val="odsek"/>
        <w:numPr>
          <w:ilvl w:val="0"/>
          <w:numId w:val="0"/>
        </w:numPr>
      </w:pPr>
    </w:p>
    <w:p w:rsidR="00780B7E" w:rsidRPr="00780B7E" w:rsidRDefault="00780B7E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B7E" w:rsidRPr="00780B7E" w:rsidRDefault="00780B7E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8B9" w:rsidRPr="00780B7E" w:rsidRDefault="00D728B9" w:rsidP="003D6A9A">
      <w:pPr>
        <w:tabs>
          <w:tab w:val="left" w:pos="567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6A9A" w:rsidRPr="00780B7E" w:rsidRDefault="003D6A9A" w:rsidP="003D6A9A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</w:p>
    <w:p w:rsidR="00660D79" w:rsidRPr="00780B7E" w:rsidRDefault="00660D79" w:rsidP="003D6A9A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  <w:ind w:left="360"/>
        <w:rPr>
          <w:color w:val="auto"/>
        </w:rPr>
      </w:pPr>
    </w:p>
    <w:p w:rsidR="008C0A17" w:rsidRPr="00780B7E" w:rsidRDefault="008C0A17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780B7E" w:rsidRDefault="008C0A17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780B7E" w:rsidRDefault="008C0A17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A17" w:rsidRPr="00780B7E" w:rsidRDefault="008C0A17" w:rsidP="003D6A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58AE" w:rsidRPr="00780B7E" w:rsidRDefault="005A58AE" w:rsidP="003D6A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5A58AE" w:rsidRPr="00780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38" w:rsidRDefault="009D5A38" w:rsidP="005A58AE">
      <w:pPr>
        <w:spacing w:after="0" w:line="240" w:lineRule="auto"/>
      </w:pPr>
      <w:r>
        <w:separator/>
      </w:r>
    </w:p>
  </w:endnote>
  <w:endnote w:type="continuationSeparator" w:id="0">
    <w:p w:rsidR="009D5A38" w:rsidRDefault="009D5A38" w:rsidP="005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58562"/>
      <w:docPartObj>
        <w:docPartGallery w:val="Page Numbers (Bottom of Page)"/>
        <w:docPartUnique/>
      </w:docPartObj>
    </w:sdtPr>
    <w:sdtEndPr/>
    <w:sdtContent>
      <w:p w:rsidR="00293DE9" w:rsidRDefault="00293D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38">
          <w:rPr>
            <w:noProof/>
          </w:rPr>
          <w:t>1</w:t>
        </w:r>
        <w:r>
          <w:fldChar w:fldCharType="end"/>
        </w:r>
      </w:p>
    </w:sdtContent>
  </w:sdt>
  <w:p w:rsidR="00293DE9" w:rsidRDefault="00293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38" w:rsidRDefault="009D5A38" w:rsidP="005A58AE">
      <w:pPr>
        <w:spacing w:after="0" w:line="240" w:lineRule="auto"/>
      </w:pPr>
      <w:r>
        <w:separator/>
      </w:r>
    </w:p>
  </w:footnote>
  <w:footnote w:type="continuationSeparator" w:id="0">
    <w:p w:rsidR="009D5A38" w:rsidRDefault="009D5A38" w:rsidP="005A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73" w:rsidRPr="005A58AE" w:rsidRDefault="007B6173" w:rsidP="005A58A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5A58AE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-791210</wp:posOffset>
          </wp:positionV>
          <wp:extent cx="704850" cy="739775"/>
          <wp:effectExtent l="0" t="0" r="0" b="317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8AE">
      <w:rPr>
        <w:rFonts w:ascii="Times New Roman" w:hAnsi="Times New Roman" w:cs="Times New Roman"/>
        <w:sz w:val="24"/>
        <w:szCs w:val="24"/>
      </w:rPr>
      <w:t>Katolícke gymnázium Štefana Moysesa, Hurbanova 9, 974 01 Banská Bystrica</w:t>
    </w:r>
  </w:p>
  <w:p w:rsidR="007B6173" w:rsidRDefault="007B61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575"/>
    <w:multiLevelType w:val="hybridMultilevel"/>
    <w:tmpl w:val="6AF0EB66"/>
    <w:lvl w:ilvl="0" w:tplc="F7D2E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7C7"/>
    <w:multiLevelType w:val="hybridMultilevel"/>
    <w:tmpl w:val="83A6E0A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53AA"/>
    <w:multiLevelType w:val="hybridMultilevel"/>
    <w:tmpl w:val="B260B7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20B49"/>
    <w:multiLevelType w:val="hybridMultilevel"/>
    <w:tmpl w:val="90080658"/>
    <w:lvl w:ilvl="0" w:tplc="DDC8E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C01A6"/>
    <w:multiLevelType w:val="hybridMultilevel"/>
    <w:tmpl w:val="A3E867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071D"/>
    <w:multiLevelType w:val="hybridMultilevel"/>
    <w:tmpl w:val="219A6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25CC8"/>
    <w:multiLevelType w:val="hybridMultilevel"/>
    <w:tmpl w:val="D74E777A"/>
    <w:lvl w:ilvl="0" w:tplc="5B5A1EE0">
      <w:start w:val="1"/>
      <w:numFmt w:val="bullet"/>
      <w:lvlText w:val=""/>
      <w:lvlJc w:val="left"/>
      <w:pPr>
        <w:ind w:left="853" w:hanging="49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E0A1C"/>
    <w:multiLevelType w:val="hybridMultilevel"/>
    <w:tmpl w:val="B058AC20"/>
    <w:lvl w:ilvl="0" w:tplc="0EB80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FE295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62D"/>
    <w:multiLevelType w:val="hybridMultilevel"/>
    <w:tmpl w:val="D2B2B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78F4"/>
    <w:multiLevelType w:val="hybridMultilevel"/>
    <w:tmpl w:val="FDE6F982"/>
    <w:lvl w:ilvl="0" w:tplc="0EB80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42C6"/>
    <w:multiLevelType w:val="hybridMultilevel"/>
    <w:tmpl w:val="913065A4"/>
    <w:lvl w:ilvl="0" w:tplc="5042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6148"/>
    <w:multiLevelType w:val="hybridMultilevel"/>
    <w:tmpl w:val="C360D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4FE3"/>
    <w:multiLevelType w:val="hybridMultilevel"/>
    <w:tmpl w:val="EA8223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0359D"/>
    <w:multiLevelType w:val="hybridMultilevel"/>
    <w:tmpl w:val="2326A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C4419"/>
    <w:multiLevelType w:val="hybridMultilevel"/>
    <w:tmpl w:val="44C49D3A"/>
    <w:lvl w:ilvl="0" w:tplc="5042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0351"/>
    <w:multiLevelType w:val="hybridMultilevel"/>
    <w:tmpl w:val="F65E3B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A1BB8"/>
    <w:multiLevelType w:val="hybridMultilevel"/>
    <w:tmpl w:val="10469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B62"/>
    <w:multiLevelType w:val="hybridMultilevel"/>
    <w:tmpl w:val="B5EC94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5D36"/>
    <w:multiLevelType w:val="multilevel"/>
    <w:tmpl w:val="F58A5C96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30B3439"/>
    <w:multiLevelType w:val="hybridMultilevel"/>
    <w:tmpl w:val="5F942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1919"/>
    <w:multiLevelType w:val="hybridMultilevel"/>
    <w:tmpl w:val="EDB86BC0"/>
    <w:lvl w:ilvl="0" w:tplc="ED988D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00D7"/>
    <w:multiLevelType w:val="hybridMultilevel"/>
    <w:tmpl w:val="E2126C64"/>
    <w:lvl w:ilvl="0" w:tplc="7B4220D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901DC"/>
    <w:multiLevelType w:val="hybridMultilevel"/>
    <w:tmpl w:val="ED72E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876A6"/>
    <w:multiLevelType w:val="hybridMultilevel"/>
    <w:tmpl w:val="20E07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F3511"/>
    <w:multiLevelType w:val="hybridMultilevel"/>
    <w:tmpl w:val="B178C9F8"/>
    <w:lvl w:ilvl="0" w:tplc="50424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526EF"/>
    <w:multiLevelType w:val="singleLevel"/>
    <w:tmpl w:val="7DB88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7"/>
  </w:num>
  <w:num w:numId="5">
    <w:abstractNumId w:val="19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4"/>
  </w:num>
  <w:num w:numId="11">
    <w:abstractNumId w:val="16"/>
  </w:num>
  <w:num w:numId="12">
    <w:abstractNumId w:val="23"/>
  </w:num>
  <w:num w:numId="13">
    <w:abstractNumId w:val="18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3">
    <w:abstractNumId w:val="12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3"/>
  </w:num>
  <w:num w:numId="27">
    <w:abstractNumId w:val="17"/>
  </w:num>
  <w:num w:numId="28">
    <w:abstractNumId w:val="5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E"/>
    <w:rsid w:val="0004551C"/>
    <w:rsid w:val="000C3CAE"/>
    <w:rsid w:val="00112A7C"/>
    <w:rsid w:val="00173DA7"/>
    <w:rsid w:val="001C02FD"/>
    <w:rsid w:val="00207BD6"/>
    <w:rsid w:val="00274BD4"/>
    <w:rsid w:val="00293DE9"/>
    <w:rsid w:val="002C5873"/>
    <w:rsid w:val="003D6A9A"/>
    <w:rsid w:val="003E67A0"/>
    <w:rsid w:val="00441EEF"/>
    <w:rsid w:val="004A2A55"/>
    <w:rsid w:val="004B325A"/>
    <w:rsid w:val="004E542B"/>
    <w:rsid w:val="004E583C"/>
    <w:rsid w:val="00527F6C"/>
    <w:rsid w:val="00576703"/>
    <w:rsid w:val="005A58AE"/>
    <w:rsid w:val="005B6FAA"/>
    <w:rsid w:val="005C08BD"/>
    <w:rsid w:val="00660D79"/>
    <w:rsid w:val="007007E4"/>
    <w:rsid w:val="00733DB3"/>
    <w:rsid w:val="00780B7E"/>
    <w:rsid w:val="007B6173"/>
    <w:rsid w:val="007C6A71"/>
    <w:rsid w:val="008374AD"/>
    <w:rsid w:val="008C0A17"/>
    <w:rsid w:val="008C5652"/>
    <w:rsid w:val="009C31CB"/>
    <w:rsid w:val="009D5A38"/>
    <w:rsid w:val="009E0A16"/>
    <w:rsid w:val="00A47E23"/>
    <w:rsid w:val="00A96F0F"/>
    <w:rsid w:val="00B35162"/>
    <w:rsid w:val="00B36D5C"/>
    <w:rsid w:val="00B43285"/>
    <w:rsid w:val="00B46088"/>
    <w:rsid w:val="00C07EE4"/>
    <w:rsid w:val="00C9541C"/>
    <w:rsid w:val="00C978EC"/>
    <w:rsid w:val="00CD3B42"/>
    <w:rsid w:val="00D21185"/>
    <w:rsid w:val="00D728B9"/>
    <w:rsid w:val="00E15ADC"/>
    <w:rsid w:val="00EA1E14"/>
    <w:rsid w:val="00EB6B65"/>
    <w:rsid w:val="00F81349"/>
    <w:rsid w:val="00F91343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52FC"/>
  <w15:chartTrackingRefBased/>
  <w15:docId w15:val="{B83E8EC0-0493-4BF1-A556-1431EB5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58AE"/>
  </w:style>
  <w:style w:type="paragraph" w:styleId="Pta">
    <w:name w:val="footer"/>
    <w:basedOn w:val="Normlny"/>
    <w:link w:val="PtaChar"/>
    <w:uiPriority w:val="99"/>
    <w:unhideWhenUsed/>
    <w:rsid w:val="005A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58AE"/>
  </w:style>
  <w:style w:type="paragraph" w:styleId="Zkladntext">
    <w:name w:val="Body Text"/>
    <w:basedOn w:val="Normlny"/>
    <w:link w:val="ZkladntextChar"/>
    <w:rsid w:val="005A5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A58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5A58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C0A17"/>
    <w:rPr>
      <w:color w:val="0000FF"/>
      <w:u w:val="single"/>
    </w:rPr>
  </w:style>
  <w:style w:type="paragraph" w:customStyle="1" w:styleId="odsek">
    <w:name w:val="odsek"/>
    <w:basedOn w:val="Normlny"/>
    <w:rsid w:val="008374AD"/>
    <w:pPr>
      <w:numPr>
        <w:ilvl w:val="1"/>
        <w:numId w:val="14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374AD"/>
    <w:pPr>
      <w:numPr>
        <w:numId w:val="14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customStyle="1" w:styleId="gestorsktvar">
    <w:name w:val="gestorský útvar"/>
    <w:basedOn w:val="Normlny"/>
    <w:next w:val="Normlny"/>
    <w:uiPriority w:val="99"/>
    <w:rsid w:val="00274BD4"/>
    <w:pPr>
      <w:spacing w:before="240" w:after="24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80B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80B7E"/>
  </w:style>
  <w:style w:type="table" w:styleId="Mriekatabuky">
    <w:name w:val="Table Grid"/>
    <w:basedOn w:val="Normlnatabuka"/>
    <w:uiPriority w:val="59"/>
    <w:rsid w:val="00780B7E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B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7E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7E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7E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7E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5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1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1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1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6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34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8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8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90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4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6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1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23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2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5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8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30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3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41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4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3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3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9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30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1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3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8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9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2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7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8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9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40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2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2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4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8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4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1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8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1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0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45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8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33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5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72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1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2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6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7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0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7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9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8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5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9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26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1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86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0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0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1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7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1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8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7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9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7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7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573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5125</Words>
  <Characters>29219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2. Pri hodnotení a klasifikácii správania žiaka sa zohľadňuje plnenie ustanovení</vt:lpstr>
      <vt:lpstr/>
    </vt:vector>
  </TitlesOfParts>
  <Company/>
  <LinksUpToDate>false</LinksUpToDate>
  <CharactersWithSpaces>34276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4</cp:revision>
  <dcterms:created xsi:type="dcterms:W3CDTF">2021-01-04T10:57:00Z</dcterms:created>
  <dcterms:modified xsi:type="dcterms:W3CDTF">2021-01-05T10:05:00Z</dcterms:modified>
</cp:coreProperties>
</file>