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B0962" w14:textId="77777777" w:rsidR="00050DF1" w:rsidRDefault="00050DF1" w:rsidP="00050DF1">
      <w:pPr>
        <w:pStyle w:val="Nadpis1"/>
        <w:keepNext/>
        <w:keepLines/>
        <w:numPr>
          <w:ilvl w:val="0"/>
          <w:numId w:val="12"/>
        </w:numPr>
        <w:spacing w:before="240" w:line="276" w:lineRule="auto"/>
        <w:rPr>
          <w:rFonts w:cs="Arial"/>
          <w:szCs w:val="24"/>
        </w:rPr>
      </w:pPr>
      <w:bookmarkStart w:id="0" w:name="_Toc335049125"/>
      <w:r w:rsidRPr="0015412C">
        <w:rPr>
          <w:rFonts w:cs="Arial"/>
          <w:szCs w:val="24"/>
        </w:rPr>
        <w:t>IDENTIFIKAČNÉ  ÚDAJE  STAVBY  A</w:t>
      </w:r>
      <w:r>
        <w:rPr>
          <w:rFonts w:cs="Arial"/>
          <w:szCs w:val="24"/>
        </w:rPr>
        <w:t> </w:t>
      </w:r>
      <w:r w:rsidRPr="0015412C">
        <w:rPr>
          <w:rFonts w:cs="Arial"/>
          <w:szCs w:val="24"/>
        </w:rPr>
        <w:t>INVESTORA</w:t>
      </w:r>
      <w:bookmarkEnd w:id="0"/>
    </w:p>
    <w:p w14:paraId="5503A335" w14:textId="77777777" w:rsidR="00050DF1" w:rsidRPr="00A60B0F" w:rsidRDefault="00050DF1" w:rsidP="00050DF1"/>
    <w:p w14:paraId="3DB6362F" w14:textId="260B40E5" w:rsidR="00050DF1" w:rsidRDefault="00050DF1" w:rsidP="00050DF1">
      <w:pPr>
        <w:ind w:left="2124" w:hanging="2124"/>
        <w:rPr>
          <w:sz w:val="24"/>
          <w:szCs w:val="24"/>
        </w:rPr>
      </w:pPr>
      <w:r w:rsidRPr="00E2714A">
        <w:rPr>
          <w:sz w:val="24"/>
          <w:szCs w:val="24"/>
        </w:rPr>
        <w:t xml:space="preserve">Stavba : </w:t>
      </w:r>
      <w:r w:rsidRPr="00E2714A">
        <w:rPr>
          <w:sz w:val="24"/>
          <w:szCs w:val="24"/>
        </w:rPr>
        <w:tab/>
      </w:r>
      <w:r w:rsidRPr="00050DF1">
        <w:rPr>
          <w:sz w:val="24"/>
          <w:szCs w:val="24"/>
        </w:rPr>
        <w:t xml:space="preserve">Plynofikácia chemického laboratória </w:t>
      </w:r>
      <w:r>
        <w:rPr>
          <w:sz w:val="24"/>
          <w:szCs w:val="24"/>
        </w:rPr>
        <w:t>–</w:t>
      </w:r>
      <w:r w:rsidRPr="00050DF1">
        <w:rPr>
          <w:sz w:val="24"/>
          <w:szCs w:val="24"/>
        </w:rPr>
        <w:t xml:space="preserve"> PB</w:t>
      </w:r>
    </w:p>
    <w:p w14:paraId="13D565B0" w14:textId="71F777A7" w:rsidR="00050DF1" w:rsidRDefault="00050DF1" w:rsidP="00050DF1">
      <w:pPr>
        <w:ind w:left="2124" w:hanging="2124"/>
        <w:rPr>
          <w:sz w:val="24"/>
          <w:szCs w:val="24"/>
        </w:rPr>
      </w:pPr>
      <w:r w:rsidRPr="00E2714A">
        <w:rPr>
          <w:sz w:val="24"/>
          <w:szCs w:val="24"/>
        </w:rPr>
        <w:t>Miesto stav</w:t>
      </w:r>
      <w:r>
        <w:rPr>
          <w:sz w:val="24"/>
          <w:szCs w:val="24"/>
        </w:rPr>
        <w:t>by :</w:t>
      </w:r>
      <w:r>
        <w:rPr>
          <w:sz w:val="24"/>
          <w:szCs w:val="24"/>
        </w:rPr>
        <w:tab/>
      </w:r>
      <w:proofErr w:type="spellStart"/>
      <w:r w:rsidRPr="0062709B">
        <w:rPr>
          <w:sz w:val="24"/>
          <w:szCs w:val="24"/>
        </w:rPr>
        <w:t>k.ú</w:t>
      </w:r>
      <w:proofErr w:type="spellEnd"/>
      <w:r w:rsidRPr="0062709B">
        <w:rPr>
          <w:sz w:val="24"/>
          <w:szCs w:val="24"/>
        </w:rPr>
        <w:t>. Petržalka, okres Bratislava, Parcela č. 5069, 5071/3</w:t>
      </w:r>
    </w:p>
    <w:p w14:paraId="7CAAC6CF" w14:textId="77777777" w:rsidR="00050DF1" w:rsidRPr="00E2714A" w:rsidRDefault="00050DF1" w:rsidP="00050DF1">
      <w:pPr>
        <w:ind w:left="2124" w:hanging="2124"/>
        <w:rPr>
          <w:sz w:val="24"/>
          <w:szCs w:val="24"/>
        </w:rPr>
      </w:pPr>
      <w:r w:rsidRPr="00E2714A">
        <w:rPr>
          <w:sz w:val="24"/>
          <w:szCs w:val="24"/>
        </w:rPr>
        <w:t xml:space="preserve">Časť : </w:t>
      </w:r>
      <w:r w:rsidRPr="00E2714A">
        <w:rPr>
          <w:sz w:val="24"/>
          <w:szCs w:val="24"/>
        </w:rPr>
        <w:tab/>
      </w:r>
      <w:r>
        <w:rPr>
          <w:sz w:val="24"/>
          <w:szCs w:val="24"/>
        </w:rPr>
        <w:t>Plynofikácia</w:t>
      </w:r>
    </w:p>
    <w:p w14:paraId="3E99E40B" w14:textId="77777777" w:rsidR="00050DF1" w:rsidRPr="0062709B" w:rsidRDefault="00050DF1" w:rsidP="00050DF1">
      <w:pPr>
        <w:ind w:left="2124" w:hanging="2124"/>
        <w:rPr>
          <w:sz w:val="24"/>
          <w:szCs w:val="24"/>
        </w:rPr>
      </w:pPr>
      <w:r>
        <w:rPr>
          <w:sz w:val="24"/>
          <w:szCs w:val="24"/>
        </w:rPr>
        <w:t>Stavebník</w:t>
      </w:r>
      <w:r w:rsidRPr="00E2714A">
        <w:rPr>
          <w:sz w:val="24"/>
          <w:szCs w:val="24"/>
        </w:rPr>
        <w:t xml:space="preserve"> : </w:t>
      </w:r>
      <w:r w:rsidRPr="00E2714A">
        <w:rPr>
          <w:sz w:val="24"/>
          <w:szCs w:val="24"/>
        </w:rPr>
        <w:tab/>
      </w:r>
      <w:r w:rsidRPr="0062709B">
        <w:rPr>
          <w:sz w:val="24"/>
          <w:szCs w:val="24"/>
        </w:rPr>
        <w:t>Gymnázium Alberta Einsteina</w:t>
      </w:r>
    </w:p>
    <w:p w14:paraId="30CE42C1" w14:textId="77777777" w:rsidR="00050DF1" w:rsidRPr="0062709B" w:rsidRDefault="00050DF1" w:rsidP="00050DF1">
      <w:pPr>
        <w:ind w:left="2124"/>
        <w:rPr>
          <w:sz w:val="24"/>
          <w:szCs w:val="24"/>
        </w:rPr>
      </w:pPr>
      <w:r w:rsidRPr="0062709B">
        <w:rPr>
          <w:sz w:val="24"/>
          <w:szCs w:val="24"/>
        </w:rPr>
        <w:t>Einsteinova 35,</w:t>
      </w:r>
    </w:p>
    <w:p w14:paraId="73E3A7E6" w14:textId="77777777" w:rsidR="00050DF1" w:rsidRDefault="00050DF1" w:rsidP="00050DF1">
      <w:pPr>
        <w:ind w:left="2124"/>
        <w:rPr>
          <w:sz w:val="24"/>
          <w:szCs w:val="24"/>
        </w:rPr>
      </w:pPr>
      <w:r w:rsidRPr="0062709B">
        <w:rPr>
          <w:sz w:val="24"/>
          <w:szCs w:val="24"/>
        </w:rPr>
        <w:t>852 03 Bratislava 5</w:t>
      </w:r>
    </w:p>
    <w:p w14:paraId="7FAD0ED3" w14:textId="77777777" w:rsidR="00050DF1" w:rsidRPr="00E2714A" w:rsidRDefault="00050DF1" w:rsidP="00050DF1">
      <w:pPr>
        <w:ind w:left="2124" w:hanging="2124"/>
        <w:rPr>
          <w:sz w:val="24"/>
          <w:szCs w:val="24"/>
        </w:rPr>
      </w:pPr>
      <w:r>
        <w:rPr>
          <w:sz w:val="24"/>
          <w:szCs w:val="24"/>
        </w:rPr>
        <w:t xml:space="preserve">PD : </w:t>
      </w:r>
      <w:r>
        <w:rPr>
          <w:sz w:val="24"/>
          <w:szCs w:val="24"/>
        </w:rPr>
        <w:tab/>
        <w:t xml:space="preserve">STAVEBNÉ POVOLENIE </w:t>
      </w:r>
    </w:p>
    <w:p w14:paraId="2D1EA0A0" w14:textId="77777777" w:rsidR="00050DF1" w:rsidRDefault="00050DF1" w:rsidP="00050DF1">
      <w:pPr>
        <w:ind w:left="2124" w:hanging="2124"/>
        <w:rPr>
          <w:sz w:val="24"/>
          <w:szCs w:val="24"/>
        </w:rPr>
      </w:pPr>
      <w:r w:rsidRPr="00E2714A">
        <w:rPr>
          <w:sz w:val="24"/>
          <w:szCs w:val="24"/>
        </w:rPr>
        <w:t>Vypracoval :</w:t>
      </w:r>
      <w:r w:rsidRPr="00E2714A">
        <w:rPr>
          <w:sz w:val="24"/>
          <w:szCs w:val="24"/>
        </w:rPr>
        <w:tab/>
      </w:r>
      <w:r>
        <w:rPr>
          <w:sz w:val="24"/>
          <w:szCs w:val="24"/>
        </w:rPr>
        <w:t>Ing. Ivan Novotný</w:t>
      </w:r>
    </w:p>
    <w:p w14:paraId="0B04EA3A" w14:textId="77777777" w:rsidR="00050DF1" w:rsidRDefault="00050DF1" w:rsidP="00050DF1">
      <w:pPr>
        <w:ind w:left="2124" w:hanging="2124"/>
        <w:rPr>
          <w:sz w:val="24"/>
          <w:szCs w:val="24"/>
        </w:rPr>
      </w:pPr>
      <w:r w:rsidRPr="00E2714A">
        <w:rPr>
          <w:sz w:val="24"/>
          <w:szCs w:val="24"/>
        </w:rPr>
        <w:t xml:space="preserve">Dátum </w:t>
      </w:r>
      <w:proofErr w:type="spellStart"/>
      <w:r w:rsidRPr="00E2714A">
        <w:rPr>
          <w:sz w:val="24"/>
          <w:szCs w:val="24"/>
        </w:rPr>
        <w:t>spraco</w:t>
      </w:r>
      <w:proofErr w:type="spellEnd"/>
      <w:r w:rsidRPr="00E2714A">
        <w:rPr>
          <w:sz w:val="24"/>
          <w:szCs w:val="24"/>
        </w:rPr>
        <w:t xml:space="preserve">. PD: </w:t>
      </w:r>
      <w:r w:rsidRPr="00E2714A">
        <w:rPr>
          <w:sz w:val="24"/>
          <w:szCs w:val="24"/>
        </w:rPr>
        <w:tab/>
      </w:r>
      <w:r>
        <w:rPr>
          <w:sz w:val="24"/>
          <w:szCs w:val="24"/>
        </w:rPr>
        <w:t>07/2020</w:t>
      </w:r>
    </w:p>
    <w:p w14:paraId="013D2D6C" w14:textId="2E443248" w:rsidR="00CF0621" w:rsidRPr="00050DF1" w:rsidRDefault="00050DF1" w:rsidP="00050DF1">
      <w:pPr>
        <w:pStyle w:val="Nadpis1"/>
        <w:keepNext/>
        <w:keepLines/>
        <w:numPr>
          <w:ilvl w:val="0"/>
          <w:numId w:val="12"/>
        </w:numPr>
        <w:spacing w:before="240" w:line="276" w:lineRule="auto"/>
        <w:rPr>
          <w:rFonts w:cs="Arial"/>
          <w:szCs w:val="24"/>
        </w:rPr>
      </w:pPr>
      <w:r w:rsidRPr="00050DF1">
        <w:rPr>
          <w:rFonts w:cs="Arial"/>
          <w:szCs w:val="24"/>
        </w:rPr>
        <w:t>Základné informácie:</w:t>
      </w:r>
    </w:p>
    <w:p w14:paraId="0949BF17" w14:textId="77F7DAA9" w:rsidR="00050DF1" w:rsidRDefault="00050DF1" w:rsidP="00050DF1">
      <w:pPr>
        <w:spacing w:after="0"/>
        <w:ind w:firstLine="708"/>
      </w:pPr>
      <w:r w:rsidRPr="000C4C84">
        <w:rPr>
          <w:rFonts w:ascii="Arial" w:hAnsi="Arial" w:cs="Arial"/>
        </w:rPr>
        <w:t xml:space="preserve">Projekt plynofikácie </w:t>
      </w:r>
      <w:r>
        <w:rPr>
          <w:rFonts w:ascii="Arial" w:hAnsi="Arial" w:cs="Arial"/>
        </w:rPr>
        <w:t xml:space="preserve">PB </w:t>
      </w:r>
      <w:r w:rsidRPr="000C4C84">
        <w:rPr>
          <w:rFonts w:ascii="Arial" w:hAnsi="Arial" w:cs="Arial"/>
        </w:rPr>
        <w:t xml:space="preserve">rieši zásobovanie </w:t>
      </w:r>
      <w:r>
        <w:rPr>
          <w:rFonts w:ascii="Arial" w:hAnsi="Arial" w:cs="Arial"/>
        </w:rPr>
        <w:t>miestnosti laboratória chémie</w:t>
      </w:r>
      <w:r w:rsidRPr="000C4C84">
        <w:rPr>
          <w:rFonts w:ascii="Arial" w:hAnsi="Arial" w:cs="Arial"/>
        </w:rPr>
        <w:t xml:space="preserve"> </w:t>
      </w:r>
      <w:r>
        <w:rPr>
          <w:rFonts w:ascii="Arial" w:hAnsi="Arial" w:cs="Arial"/>
        </w:rPr>
        <w:t xml:space="preserve">propán-butánovým (PB) </w:t>
      </w:r>
      <w:r w:rsidRPr="000C4C84">
        <w:rPr>
          <w:rFonts w:ascii="Arial" w:hAnsi="Arial" w:cs="Arial"/>
        </w:rPr>
        <w:t>plynom z</w:t>
      </w:r>
      <w:r>
        <w:rPr>
          <w:rFonts w:ascii="Arial" w:hAnsi="Arial" w:cs="Arial"/>
        </w:rPr>
        <w:t> PB fľaše o objeme 10kg. V </w:t>
      </w:r>
      <w:proofErr w:type="spellStart"/>
      <w:r>
        <w:rPr>
          <w:rFonts w:ascii="Arial" w:hAnsi="Arial" w:cs="Arial"/>
        </w:rPr>
        <w:t>laborátóriu</w:t>
      </w:r>
      <w:proofErr w:type="spellEnd"/>
      <w:r>
        <w:rPr>
          <w:rFonts w:ascii="Arial" w:hAnsi="Arial" w:cs="Arial"/>
        </w:rPr>
        <w:t xml:space="preserve"> je vybudovaný plynovod a preto sa odstráni a zaslepí starý ktorý vchádza do budovy a napojí sa na PB fľašu. </w:t>
      </w:r>
    </w:p>
    <w:p w14:paraId="747666A8" w14:textId="77777777" w:rsidR="00CF0621" w:rsidRDefault="00CF0621" w:rsidP="00DB06CB"/>
    <w:p w14:paraId="4DA264FA" w14:textId="23043BCA" w:rsidR="00DB06CB" w:rsidRPr="00050DF1" w:rsidRDefault="00DB06CB" w:rsidP="00050DF1">
      <w:pPr>
        <w:pStyle w:val="Nadpis1"/>
        <w:keepNext/>
        <w:keepLines/>
        <w:numPr>
          <w:ilvl w:val="0"/>
          <w:numId w:val="12"/>
        </w:numPr>
        <w:spacing w:before="240" w:line="276" w:lineRule="auto"/>
        <w:rPr>
          <w:rFonts w:cs="Arial"/>
          <w:szCs w:val="24"/>
        </w:rPr>
      </w:pPr>
      <w:r w:rsidRPr="00050DF1">
        <w:rPr>
          <w:rFonts w:cs="Arial"/>
          <w:szCs w:val="24"/>
        </w:rPr>
        <w:t>Výpočet</w:t>
      </w:r>
      <w:r w:rsidR="00E15F08" w:rsidRPr="00050DF1">
        <w:rPr>
          <w:rFonts w:cs="Arial"/>
          <w:szCs w:val="24"/>
        </w:rPr>
        <w:t xml:space="preserve"> vnútro areálového rozvodu  PB do 10 kPa:</w:t>
      </w:r>
    </w:p>
    <w:tbl>
      <w:tblPr>
        <w:tblStyle w:val="Mriekatabuky"/>
        <w:tblW w:w="0" w:type="auto"/>
        <w:tblBorders>
          <w:insideH w:val="none" w:sz="0" w:space="0" w:color="auto"/>
          <w:insideV w:val="none" w:sz="0" w:space="0" w:color="auto"/>
        </w:tblBorders>
        <w:tblLook w:val="04A0" w:firstRow="1" w:lastRow="0" w:firstColumn="1" w:lastColumn="0" w:noHBand="0" w:noVBand="1"/>
      </w:tblPr>
      <w:tblGrid>
        <w:gridCol w:w="1101"/>
        <w:gridCol w:w="1052"/>
      </w:tblGrid>
      <w:tr w:rsidR="00E15F08" w14:paraId="4E7F767D" w14:textId="77777777" w:rsidTr="00E15F08">
        <w:tc>
          <w:tcPr>
            <w:tcW w:w="1101" w:type="dxa"/>
            <w:tcBorders>
              <w:top w:val="single" w:sz="4" w:space="0" w:color="auto"/>
              <w:bottom w:val="nil"/>
              <w:right w:val="single" w:sz="4" w:space="0" w:color="auto"/>
            </w:tcBorders>
            <w:vAlign w:val="center"/>
          </w:tcPr>
          <w:p w14:paraId="6A08A615" w14:textId="77777777" w:rsidR="00E15F08" w:rsidRDefault="00E15F08" w:rsidP="00E15F08">
            <w:r>
              <w:t>k</w:t>
            </w:r>
          </w:p>
        </w:tc>
        <w:tc>
          <w:tcPr>
            <w:tcW w:w="992" w:type="dxa"/>
            <w:tcBorders>
              <w:left w:val="single" w:sz="4" w:space="0" w:color="auto"/>
            </w:tcBorders>
            <w:vAlign w:val="center"/>
          </w:tcPr>
          <w:p w14:paraId="68D8569B" w14:textId="77777777" w:rsidR="00E15F08" w:rsidRDefault="00E15F08" w:rsidP="00E15F08">
            <w:pPr>
              <w:jc w:val="center"/>
            </w:pPr>
            <w:r>
              <w:t>18,1</w:t>
            </w:r>
          </w:p>
        </w:tc>
      </w:tr>
      <w:tr w:rsidR="00E15F08" w14:paraId="13BD78B0" w14:textId="77777777" w:rsidTr="00E15F08">
        <w:tc>
          <w:tcPr>
            <w:tcW w:w="1101" w:type="dxa"/>
            <w:tcBorders>
              <w:top w:val="nil"/>
              <w:bottom w:val="nil"/>
              <w:right w:val="single" w:sz="4" w:space="0" w:color="auto"/>
            </w:tcBorders>
            <w:vAlign w:val="center"/>
          </w:tcPr>
          <w:p w14:paraId="0AF16EC2" w14:textId="77777777" w:rsidR="00E15F08" w:rsidRPr="00E15F08" w:rsidRDefault="00E15F08" w:rsidP="00E15F08">
            <w:r>
              <w:t>Q</w:t>
            </w:r>
            <w:r w:rsidRPr="00E15F08">
              <w:rPr>
                <w:vertAlign w:val="subscript"/>
              </w:rPr>
              <w:t>r</w:t>
            </w:r>
            <w:r>
              <w:rPr>
                <w:vertAlign w:val="subscript"/>
              </w:rPr>
              <w:t xml:space="preserve"> </w:t>
            </w:r>
            <w:r>
              <w:t>(m</w:t>
            </w:r>
            <w:r w:rsidRPr="00E15F08">
              <w:rPr>
                <w:vertAlign w:val="superscript"/>
              </w:rPr>
              <w:t>3</w:t>
            </w:r>
            <w:r>
              <w:t>/h)</w:t>
            </w:r>
          </w:p>
        </w:tc>
        <w:tc>
          <w:tcPr>
            <w:tcW w:w="992" w:type="dxa"/>
            <w:tcBorders>
              <w:left w:val="single" w:sz="4" w:space="0" w:color="auto"/>
            </w:tcBorders>
            <w:vAlign w:val="center"/>
          </w:tcPr>
          <w:p w14:paraId="6B32B7AE" w14:textId="77777777" w:rsidR="00E15F08" w:rsidRDefault="00E15F08" w:rsidP="00E15F08">
            <w:pPr>
              <w:jc w:val="center"/>
            </w:pPr>
            <w:r>
              <w:t>0,251</w:t>
            </w:r>
          </w:p>
        </w:tc>
      </w:tr>
      <w:tr w:rsidR="00E15F08" w14:paraId="5B5562C2" w14:textId="77777777" w:rsidTr="00E15F08">
        <w:tc>
          <w:tcPr>
            <w:tcW w:w="1101" w:type="dxa"/>
            <w:tcBorders>
              <w:top w:val="nil"/>
              <w:bottom w:val="nil"/>
              <w:right w:val="single" w:sz="4" w:space="0" w:color="auto"/>
            </w:tcBorders>
            <w:vAlign w:val="center"/>
          </w:tcPr>
          <w:p w14:paraId="66CBAFC2" w14:textId="77777777" w:rsidR="00E15F08" w:rsidRDefault="00E15F08" w:rsidP="00E15F08">
            <w:r>
              <w:t>Q</w:t>
            </w:r>
            <w:r w:rsidRPr="00E15F08">
              <w:rPr>
                <w:vertAlign w:val="subscript"/>
              </w:rPr>
              <w:t>r</w:t>
            </w:r>
            <w:r>
              <w:rPr>
                <w:vertAlign w:val="subscript"/>
              </w:rPr>
              <w:t xml:space="preserve"> </w:t>
            </w:r>
            <w:r>
              <w:t xml:space="preserve"> na 2</w:t>
            </w:r>
          </w:p>
        </w:tc>
        <w:tc>
          <w:tcPr>
            <w:tcW w:w="992" w:type="dxa"/>
            <w:tcBorders>
              <w:left w:val="single" w:sz="4" w:space="0" w:color="auto"/>
            </w:tcBorders>
            <w:vAlign w:val="center"/>
          </w:tcPr>
          <w:p w14:paraId="2F228BAE" w14:textId="77777777" w:rsidR="00E15F08" w:rsidRDefault="00E15F08" w:rsidP="00E15F08">
            <w:pPr>
              <w:jc w:val="center"/>
            </w:pPr>
            <w:r>
              <w:t>0,063001</w:t>
            </w:r>
          </w:p>
        </w:tc>
      </w:tr>
      <w:tr w:rsidR="00E15F08" w14:paraId="6D02A6C9" w14:textId="77777777" w:rsidTr="00E15F08">
        <w:tc>
          <w:tcPr>
            <w:tcW w:w="1101" w:type="dxa"/>
            <w:tcBorders>
              <w:top w:val="nil"/>
              <w:bottom w:val="nil"/>
              <w:right w:val="single" w:sz="4" w:space="0" w:color="auto"/>
            </w:tcBorders>
            <w:vAlign w:val="center"/>
          </w:tcPr>
          <w:p w14:paraId="75BA906E" w14:textId="77777777" w:rsidR="00E15F08" w:rsidRDefault="00E15F08" w:rsidP="00E15F08">
            <w:r>
              <w:t>s</w:t>
            </w:r>
          </w:p>
        </w:tc>
        <w:tc>
          <w:tcPr>
            <w:tcW w:w="992" w:type="dxa"/>
            <w:tcBorders>
              <w:left w:val="single" w:sz="4" w:space="0" w:color="auto"/>
            </w:tcBorders>
            <w:vAlign w:val="center"/>
          </w:tcPr>
          <w:p w14:paraId="1143B1A4" w14:textId="77777777" w:rsidR="00E15F08" w:rsidRDefault="00E15F08" w:rsidP="00E15F08">
            <w:pPr>
              <w:jc w:val="center"/>
            </w:pPr>
            <w:r>
              <w:t>1,56</w:t>
            </w:r>
          </w:p>
        </w:tc>
      </w:tr>
      <w:tr w:rsidR="00E15F08" w14:paraId="62F56290" w14:textId="77777777" w:rsidTr="00E15F08">
        <w:tc>
          <w:tcPr>
            <w:tcW w:w="1101" w:type="dxa"/>
            <w:tcBorders>
              <w:top w:val="nil"/>
              <w:bottom w:val="nil"/>
              <w:right w:val="single" w:sz="4" w:space="0" w:color="auto"/>
            </w:tcBorders>
            <w:vAlign w:val="center"/>
          </w:tcPr>
          <w:p w14:paraId="19C54E6E" w14:textId="77777777" w:rsidR="00E15F08" w:rsidRDefault="00E15F08" w:rsidP="00E15F08">
            <w:r>
              <w:t>l (m)</w:t>
            </w:r>
          </w:p>
        </w:tc>
        <w:tc>
          <w:tcPr>
            <w:tcW w:w="992" w:type="dxa"/>
            <w:tcBorders>
              <w:left w:val="single" w:sz="4" w:space="0" w:color="auto"/>
            </w:tcBorders>
            <w:vAlign w:val="center"/>
          </w:tcPr>
          <w:p w14:paraId="415E8A88" w14:textId="77777777" w:rsidR="00E15F08" w:rsidRDefault="00E15F08" w:rsidP="00E15F08">
            <w:pPr>
              <w:jc w:val="center"/>
            </w:pPr>
            <w:r>
              <w:t>15</w:t>
            </w:r>
          </w:p>
        </w:tc>
      </w:tr>
      <w:tr w:rsidR="00E15F08" w14:paraId="2EE8843A" w14:textId="77777777" w:rsidTr="00E15F08">
        <w:tc>
          <w:tcPr>
            <w:tcW w:w="1101" w:type="dxa"/>
            <w:tcBorders>
              <w:top w:val="nil"/>
              <w:bottom w:val="nil"/>
              <w:right w:val="single" w:sz="4" w:space="0" w:color="auto"/>
            </w:tcBorders>
            <w:vAlign w:val="center"/>
          </w:tcPr>
          <w:p w14:paraId="7AD32260" w14:textId="77777777" w:rsidR="00E15F08" w:rsidRDefault="00E15F08" w:rsidP="00E15F08">
            <w:r>
              <w:rPr>
                <w:rFonts w:cstheme="minorHAnsi"/>
              </w:rPr>
              <w:t>Δ</w:t>
            </w:r>
            <w:r>
              <w:t xml:space="preserve"> p (Pa)</w:t>
            </w:r>
          </w:p>
        </w:tc>
        <w:tc>
          <w:tcPr>
            <w:tcW w:w="992" w:type="dxa"/>
            <w:tcBorders>
              <w:left w:val="single" w:sz="4" w:space="0" w:color="auto"/>
            </w:tcBorders>
            <w:vAlign w:val="center"/>
          </w:tcPr>
          <w:p w14:paraId="10DAA494" w14:textId="77777777" w:rsidR="00E15F08" w:rsidRDefault="00E15F08" w:rsidP="00E15F08">
            <w:pPr>
              <w:jc w:val="center"/>
            </w:pPr>
            <w:r>
              <w:t>30</w:t>
            </w:r>
          </w:p>
        </w:tc>
      </w:tr>
      <w:tr w:rsidR="00E15F08" w14:paraId="7A089E5C" w14:textId="77777777" w:rsidTr="00E15F08">
        <w:tc>
          <w:tcPr>
            <w:tcW w:w="1101" w:type="dxa"/>
            <w:tcBorders>
              <w:top w:val="nil"/>
              <w:bottom w:val="nil"/>
              <w:right w:val="single" w:sz="4" w:space="0" w:color="auto"/>
            </w:tcBorders>
            <w:vAlign w:val="center"/>
          </w:tcPr>
          <w:p w14:paraId="29258355" w14:textId="77777777" w:rsidR="00E15F08" w:rsidRDefault="00E15F08" w:rsidP="00E15F08">
            <w:r>
              <w:t>Podiel</w:t>
            </w:r>
          </w:p>
        </w:tc>
        <w:tc>
          <w:tcPr>
            <w:tcW w:w="992" w:type="dxa"/>
            <w:tcBorders>
              <w:left w:val="single" w:sz="4" w:space="0" w:color="auto"/>
            </w:tcBorders>
            <w:vAlign w:val="center"/>
          </w:tcPr>
          <w:p w14:paraId="1F2C1AB0" w14:textId="77777777" w:rsidR="00E15F08" w:rsidRDefault="00E15F08" w:rsidP="00E15F08">
            <w:pPr>
              <w:jc w:val="center"/>
            </w:pPr>
            <w:r>
              <w:t>0,05</w:t>
            </w:r>
          </w:p>
        </w:tc>
      </w:tr>
      <w:tr w:rsidR="00E15F08" w14:paraId="1937DA11" w14:textId="77777777" w:rsidTr="00E15F08">
        <w:tc>
          <w:tcPr>
            <w:tcW w:w="1101" w:type="dxa"/>
            <w:tcBorders>
              <w:top w:val="nil"/>
              <w:bottom w:val="single" w:sz="12" w:space="0" w:color="auto"/>
              <w:right w:val="single" w:sz="4" w:space="0" w:color="auto"/>
            </w:tcBorders>
            <w:vAlign w:val="center"/>
          </w:tcPr>
          <w:p w14:paraId="37B03A1D" w14:textId="77777777" w:rsidR="00E15F08" w:rsidRDefault="00E15F08" w:rsidP="00E15F08">
            <w:r>
              <w:t>d (mm)</w:t>
            </w:r>
          </w:p>
        </w:tc>
        <w:tc>
          <w:tcPr>
            <w:tcW w:w="992" w:type="dxa"/>
            <w:tcBorders>
              <w:left w:val="single" w:sz="4" w:space="0" w:color="auto"/>
              <w:bottom w:val="single" w:sz="12" w:space="0" w:color="auto"/>
            </w:tcBorders>
            <w:vAlign w:val="center"/>
          </w:tcPr>
          <w:p w14:paraId="7EB24CC3" w14:textId="77777777" w:rsidR="00E15F08" w:rsidRDefault="00E15F08" w:rsidP="00E15F08">
            <w:pPr>
              <w:jc w:val="center"/>
            </w:pPr>
            <w:r>
              <w:t>9,91</w:t>
            </w:r>
          </w:p>
        </w:tc>
      </w:tr>
      <w:tr w:rsidR="00E15F08" w14:paraId="484BCE2E" w14:textId="77777777" w:rsidTr="00E15F08">
        <w:tc>
          <w:tcPr>
            <w:tcW w:w="1101" w:type="dxa"/>
            <w:tcBorders>
              <w:top w:val="single" w:sz="12" w:space="0" w:color="auto"/>
              <w:left w:val="single" w:sz="12" w:space="0" w:color="auto"/>
              <w:bottom w:val="single" w:sz="12" w:space="0" w:color="auto"/>
              <w:right w:val="single" w:sz="4" w:space="0" w:color="auto"/>
            </w:tcBorders>
            <w:vAlign w:val="center"/>
          </w:tcPr>
          <w:p w14:paraId="0EB57028" w14:textId="77777777" w:rsidR="00E15F08" w:rsidRDefault="00E15F08" w:rsidP="00E15F08">
            <w:r>
              <w:t>Volím DN</w:t>
            </w:r>
          </w:p>
        </w:tc>
        <w:tc>
          <w:tcPr>
            <w:tcW w:w="992" w:type="dxa"/>
            <w:tcBorders>
              <w:top w:val="single" w:sz="12" w:space="0" w:color="auto"/>
              <w:left w:val="single" w:sz="4" w:space="0" w:color="auto"/>
              <w:bottom w:val="single" w:sz="12" w:space="0" w:color="auto"/>
              <w:right w:val="single" w:sz="12" w:space="0" w:color="auto"/>
            </w:tcBorders>
            <w:vAlign w:val="center"/>
          </w:tcPr>
          <w:p w14:paraId="619C67ED" w14:textId="77777777" w:rsidR="00E15F08" w:rsidRPr="00E15F08" w:rsidRDefault="00E15F08" w:rsidP="00E15F08">
            <w:pPr>
              <w:jc w:val="center"/>
              <w:rPr>
                <w:b/>
                <w:bCs/>
              </w:rPr>
            </w:pPr>
            <w:r w:rsidRPr="00E15F08">
              <w:rPr>
                <w:b/>
                <w:bCs/>
              </w:rPr>
              <w:t>15</w:t>
            </w:r>
          </w:p>
        </w:tc>
      </w:tr>
    </w:tbl>
    <w:p w14:paraId="1F31A7CF" w14:textId="77777777" w:rsidR="00E15F08" w:rsidRDefault="00E15F08" w:rsidP="00DB06CB"/>
    <w:p w14:paraId="4EFF75A8" w14:textId="77777777" w:rsidR="00E15F08" w:rsidRPr="007055AB" w:rsidRDefault="007055AB" w:rsidP="00DB06CB">
      <w:pPr>
        <w:rPr>
          <w:rFonts w:eastAsiaTheme="minorEastAsia"/>
        </w:rPr>
      </w:pPr>
      <m:oMathPara>
        <m:oMathParaPr>
          <m:jc m:val="left"/>
        </m:oMathParaPr>
        <m:oMath>
          <m:r>
            <w:rPr>
              <w:rFonts w:ascii="Cambria Math" w:hAnsi="Cambria Math"/>
            </w:rPr>
            <m:t xml:space="preserve">D =18,1 </m:t>
          </m:r>
          <m:rad>
            <m:radPr>
              <m:ctrlPr>
                <w:rPr>
                  <w:rFonts w:ascii="Cambria Math" w:hAnsi="Cambria Math"/>
                  <w:i/>
                </w:rPr>
              </m:ctrlPr>
            </m:radPr>
            <m:deg>
              <m:r>
                <w:rPr>
                  <w:rFonts w:ascii="Cambria Math" w:hAnsi="Cambria Math"/>
                </w:rPr>
                <m:t>5</m:t>
              </m:r>
            </m:deg>
            <m:e>
              <m:f>
                <m:fPr>
                  <m:ctrlPr>
                    <w:rPr>
                      <w:rFonts w:ascii="Cambria Math" w:hAnsi="Cambria Math"/>
                      <w:i/>
                    </w:rPr>
                  </m:ctrlPr>
                </m:fPr>
                <m:num>
                  <m:sSubSup>
                    <m:sSubSupPr>
                      <m:ctrlPr>
                        <w:rPr>
                          <w:rFonts w:ascii="Cambria Math" w:hAnsi="Cambria Math"/>
                          <w:i/>
                        </w:rPr>
                      </m:ctrlPr>
                    </m:sSubSupPr>
                    <m:e>
                      <m:r>
                        <w:rPr>
                          <w:rFonts w:ascii="Cambria Math" w:hAnsi="Cambria Math"/>
                        </w:rPr>
                        <m:t>Q</m:t>
                      </m:r>
                    </m:e>
                    <m:sub>
                      <m:r>
                        <w:rPr>
                          <w:rFonts w:ascii="Cambria Math" w:hAnsi="Cambria Math"/>
                        </w:rPr>
                        <m:t>r</m:t>
                      </m:r>
                    </m:sub>
                    <m:sup>
                      <m:r>
                        <w:rPr>
                          <w:rFonts w:ascii="Cambria Math" w:hAnsi="Cambria Math"/>
                        </w:rPr>
                        <m:t>2</m:t>
                      </m:r>
                    </m:sup>
                  </m:sSubSup>
                  <m:r>
                    <w:rPr>
                      <w:rFonts w:ascii="Cambria Math" w:hAnsi="Cambria Math"/>
                    </w:rPr>
                    <m:t>×s×L</m:t>
                  </m:r>
                </m:num>
                <m:den>
                  <m:r>
                    <m:rPr>
                      <m:sty m:val="p"/>
                    </m:rPr>
                    <w:rPr>
                      <w:rFonts w:ascii="Cambria Math" w:hAnsi="Cambria Math"/>
                    </w:rPr>
                    <m:t>Δ</m:t>
                  </m:r>
                  <m:r>
                    <w:rPr>
                      <w:rFonts w:ascii="Cambria Math" w:hAnsi="Cambria Math"/>
                    </w:rPr>
                    <m:t>p</m:t>
                  </m:r>
                </m:den>
              </m:f>
            </m:e>
          </m:rad>
          <m:r>
            <w:rPr>
              <w:rFonts w:ascii="Cambria Math" w:hAnsi="Cambria Math"/>
            </w:rPr>
            <m:t xml:space="preserve"> (cm)</m:t>
          </m:r>
        </m:oMath>
      </m:oMathPara>
    </w:p>
    <w:p w14:paraId="3951967B" w14:textId="7A8C8A9D" w:rsidR="007055AB" w:rsidRDefault="007055AB" w:rsidP="007055AB">
      <w:pPr>
        <w:ind w:firstLine="708"/>
        <w:jc w:val="both"/>
        <w:rPr>
          <w:rFonts w:eastAsiaTheme="minorEastAsia"/>
        </w:rPr>
      </w:pPr>
      <w:r>
        <w:rPr>
          <w:rFonts w:eastAsiaTheme="minorEastAsia"/>
        </w:rPr>
        <w:t xml:space="preserve">Pred spotrebičmi, v dolnej časti laboratórneho stola je potrebné inštalovať uzáver. Doporučujeme inštalovať klasický ihlový uzáver. Guľový uzáver pri častom používaní ostane netesný. </w:t>
      </w:r>
    </w:p>
    <w:p w14:paraId="0A06CE78" w14:textId="77777777" w:rsidR="007055AB" w:rsidRDefault="007055AB" w:rsidP="007055AB">
      <w:pPr>
        <w:ind w:firstLine="708"/>
        <w:jc w:val="both"/>
        <w:rPr>
          <w:rFonts w:eastAsiaTheme="minorEastAsia"/>
        </w:rPr>
      </w:pPr>
      <w:r>
        <w:rPr>
          <w:rFonts w:eastAsiaTheme="minorEastAsia"/>
        </w:rPr>
        <w:t xml:space="preserve">Spotrebiče budú napojené na rozvod plyn. hadicou. Plynové hadice </w:t>
      </w:r>
      <w:r w:rsidR="005973F7">
        <w:rPr>
          <w:rFonts w:eastAsiaTheme="minorEastAsia"/>
        </w:rPr>
        <w:t xml:space="preserve">je potrebné k rozvodu istiť skrutkovým pripojením, alebo istiacou páskou. Plynové hadice je potrebné vymeniť najmenej jedenkrát za tri roky. Oceľové rozvody plynové potrubie musí byť chránené pred koróziou farebným náterom základnou farbou aspoň dvakrát vrchným emailom. Odvzdušnenie rozvodu bude vykonané odborným pracovníkom dodávateľa cez uzáver pred horákom mimo domové priestory. </w:t>
      </w:r>
    </w:p>
    <w:p w14:paraId="422B86A5" w14:textId="77777777" w:rsidR="005973F7" w:rsidRDefault="005973F7" w:rsidP="007055AB">
      <w:pPr>
        <w:ind w:firstLine="708"/>
        <w:jc w:val="both"/>
        <w:rPr>
          <w:b/>
          <w:bCs/>
        </w:rPr>
      </w:pPr>
      <w:r w:rsidRPr="005973F7">
        <w:rPr>
          <w:b/>
          <w:bCs/>
        </w:rPr>
        <w:lastRenderedPageBreak/>
        <w:t>Ročná spotreba plynu:</w:t>
      </w:r>
    </w:p>
    <w:p w14:paraId="1AD9327F" w14:textId="77777777" w:rsidR="005973F7" w:rsidRDefault="005973F7" w:rsidP="007055AB">
      <w:pPr>
        <w:ind w:firstLine="708"/>
        <w:jc w:val="both"/>
      </w:pPr>
      <w:r w:rsidRPr="005973F7">
        <w:t>P</w:t>
      </w:r>
      <w:r>
        <w:t xml:space="preserve">redpokladá sa spotreba jednej fľaše do roka. </w:t>
      </w:r>
    </w:p>
    <w:p w14:paraId="197301B7" w14:textId="77777777" w:rsidR="005973F7" w:rsidRPr="005973F7" w:rsidRDefault="005973F7" w:rsidP="007055AB">
      <w:pPr>
        <w:ind w:firstLine="708"/>
        <w:jc w:val="both"/>
        <w:rPr>
          <w:b/>
          <w:bCs/>
        </w:rPr>
      </w:pPr>
      <w:r w:rsidRPr="005973F7">
        <w:rPr>
          <w:b/>
          <w:bCs/>
        </w:rPr>
        <w:t>Odvod spalín:</w:t>
      </w:r>
    </w:p>
    <w:p w14:paraId="6C157935" w14:textId="088A5B36" w:rsidR="005973F7" w:rsidRDefault="005973F7" w:rsidP="007055AB">
      <w:pPr>
        <w:ind w:firstLine="708"/>
        <w:jc w:val="both"/>
      </w:pPr>
      <w:r>
        <w:t xml:space="preserve">Odvod spalín z horáka bude realizovaný cez ventilátorový otvor, kedy nepracuje ventilátor. Otvor </w:t>
      </w:r>
      <w:r w:rsidR="00050DF1">
        <w:t>je</w:t>
      </w:r>
      <w:r>
        <w:t xml:space="preserve"> umiestnení</w:t>
      </w:r>
      <w:r w:rsidR="00050DF1">
        <w:t xml:space="preserve"> v dvoch oknách</w:t>
      </w:r>
      <w:r>
        <w:t xml:space="preserve"> laboratória.</w:t>
      </w:r>
    </w:p>
    <w:p w14:paraId="0ED7DB25" w14:textId="77777777" w:rsidR="005973F7" w:rsidRDefault="005973F7" w:rsidP="007055AB">
      <w:pPr>
        <w:ind w:firstLine="708"/>
        <w:jc w:val="both"/>
        <w:rPr>
          <w:b/>
          <w:bCs/>
        </w:rPr>
      </w:pPr>
      <w:r w:rsidRPr="005973F7">
        <w:rPr>
          <w:b/>
          <w:bCs/>
        </w:rPr>
        <w:t>Vetranie miestností:</w:t>
      </w:r>
    </w:p>
    <w:p w14:paraId="09FEDBB5" w14:textId="222A322E" w:rsidR="005973F7" w:rsidRDefault="005973F7" w:rsidP="007055AB">
      <w:pPr>
        <w:ind w:firstLine="708"/>
        <w:jc w:val="both"/>
      </w:pPr>
      <w:r>
        <w:t xml:space="preserve">Odsávanie vzduchu je možné digestorom. Prívod vzduchu bude z vonkajšej strany budovy pri podlahe otvor </w:t>
      </w:r>
      <w:r w:rsidR="00050DF1">
        <w:t>2</w:t>
      </w:r>
      <w:r>
        <w:t xml:space="preserve">0 x </w:t>
      </w:r>
      <w:r w:rsidR="00050DF1">
        <w:t>2</w:t>
      </w:r>
      <w:r>
        <w:t xml:space="preserve">0 cm – viď výkres č. </w:t>
      </w:r>
      <w:r w:rsidR="00050DF1">
        <w:t>1</w:t>
      </w:r>
      <w:r>
        <w:t xml:space="preserve">. Odvod spalín bude cez ventilátorový otvor, kedy nepracuje ventilátor. </w:t>
      </w:r>
      <w:r w:rsidR="00050DF1">
        <w:t>Otvor je umiestnení v dvoch oknách laboratória</w:t>
      </w:r>
      <w:r>
        <w:t>.</w:t>
      </w:r>
    </w:p>
    <w:p w14:paraId="113F6A40" w14:textId="1A9F37B5" w:rsidR="005973F7" w:rsidRDefault="005973F7" w:rsidP="007055AB">
      <w:pPr>
        <w:ind w:firstLine="708"/>
        <w:jc w:val="both"/>
      </w:pPr>
      <w:r>
        <w:t xml:space="preserve">V laboratóriu, pri </w:t>
      </w:r>
      <w:r w:rsidR="00050DF1">
        <w:t>3</w:t>
      </w:r>
      <w:r>
        <w:t xml:space="preserve"> stol</w:t>
      </w:r>
      <w:r w:rsidR="00050DF1">
        <w:t>och</w:t>
      </w:r>
      <w:r>
        <w:t xml:space="preserve"> </w:t>
      </w:r>
      <w:r w:rsidR="00050DF1">
        <w:t xml:space="preserve">budú </w:t>
      </w:r>
      <w:r>
        <w:t>max. výška 15 cm od podlahy namontovan</w:t>
      </w:r>
      <w:r w:rsidR="00050DF1">
        <w:t>é</w:t>
      </w:r>
      <w:r>
        <w:t xml:space="preserve"> </w:t>
      </w:r>
      <w:r w:rsidR="00050DF1">
        <w:t>3x detektory</w:t>
      </w:r>
      <w:r>
        <w:t xml:space="preserve"> úniku plynu HESTIA. Pri úniku plynu detektor uzavrie havarijný elektromagnetický ventil pri PB fľaši a spustí ventilátor do chodu, ktorý bude tlačiť vzduch do </w:t>
      </w:r>
      <w:r w:rsidR="00714703">
        <w:t>miestnosti</w:t>
      </w:r>
      <w:r>
        <w:t xml:space="preserve"> laboratória</w:t>
      </w:r>
      <w:r w:rsidR="00714703">
        <w:t xml:space="preserve"> a vytláčať uniknutý PB otvorom </w:t>
      </w:r>
      <w:r w:rsidR="00050DF1">
        <w:t>2</w:t>
      </w:r>
      <w:r w:rsidR="00714703">
        <w:t xml:space="preserve">0 x </w:t>
      </w:r>
      <w:r w:rsidR="00050DF1">
        <w:t>2</w:t>
      </w:r>
      <w:r w:rsidR="00714703">
        <w:t>0 cm pri podlahe do okolitého priestoru.</w:t>
      </w:r>
    </w:p>
    <w:p w14:paraId="48DBD544" w14:textId="77777777" w:rsidR="00714703" w:rsidRPr="00714703" w:rsidRDefault="00714703" w:rsidP="007055AB">
      <w:pPr>
        <w:ind w:firstLine="708"/>
        <w:jc w:val="both"/>
        <w:rPr>
          <w:b/>
          <w:bCs/>
        </w:rPr>
      </w:pPr>
      <w:r w:rsidRPr="00714703">
        <w:rPr>
          <w:b/>
          <w:bCs/>
        </w:rPr>
        <w:t>Rozvod plynu:</w:t>
      </w:r>
    </w:p>
    <w:p w14:paraId="34917E80" w14:textId="68AC1E94" w:rsidR="00714703" w:rsidRDefault="00714703" w:rsidP="007055AB">
      <w:pPr>
        <w:ind w:firstLine="708"/>
        <w:jc w:val="both"/>
      </w:pPr>
      <w:r>
        <w:t>Chemické laboratórium je v Gymnáziu realizované</w:t>
      </w:r>
      <w:r w:rsidR="003A3DEB">
        <w:t xml:space="preserve"> na </w:t>
      </w:r>
      <w:r w:rsidR="00050DF1">
        <w:t>prvom</w:t>
      </w:r>
      <w:r w:rsidR="003A3DEB">
        <w:t xml:space="preserve"> nadzemnom podlaží. investor predpokladá plynofikovať laboratórium, t.j. priviesť k </w:t>
      </w:r>
      <w:r w:rsidR="00050DF1">
        <w:t>5</w:t>
      </w:r>
      <w:r w:rsidR="003A3DEB">
        <w:t xml:space="preserve"> ks </w:t>
      </w:r>
      <w:proofErr w:type="spellStart"/>
      <w:r w:rsidR="003A3DEB">
        <w:t>Bunsenovým</w:t>
      </w:r>
      <w:proofErr w:type="spellEnd"/>
      <w:r w:rsidR="003A3DEB">
        <w:t xml:space="preserve"> horákom zmes propánu a butánu z jednej 10 kg propán-butánovej fľaše. </w:t>
      </w:r>
    </w:p>
    <w:p w14:paraId="4CAEC473" w14:textId="1247AB0D" w:rsidR="003A3DEB" w:rsidRDefault="003A3DEB" w:rsidP="007055AB">
      <w:pPr>
        <w:ind w:firstLine="708"/>
        <w:jc w:val="both"/>
      </w:pPr>
      <w:r>
        <w:t xml:space="preserve">Riešenie tejto požiadavky je riešené v zmysle interných predpisov odbornej firmy FLAGA s.r.o. </w:t>
      </w:r>
      <w:r w:rsidR="00050DF1">
        <w:t xml:space="preserve">V miestnosti laboratória je  </w:t>
      </w:r>
      <w:r>
        <w:t xml:space="preserve"> vybudov</w:t>
      </w:r>
      <w:r w:rsidR="00050DF1">
        <w:t>aná</w:t>
      </w:r>
      <w:r>
        <w:t xml:space="preserve"> </w:t>
      </w:r>
      <w:proofErr w:type="spellStart"/>
      <w:r>
        <w:t>odvetrateľ</w:t>
      </w:r>
      <w:r w:rsidR="00050DF1">
        <w:t>ná</w:t>
      </w:r>
      <w:proofErr w:type="spellEnd"/>
      <w:r>
        <w:t xml:space="preserve"> </w:t>
      </w:r>
      <w:r w:rsidR="00050DF1">
        <w:t>skrinka</w:t>
      </w:r>
      <w:r>
        <w:t xml:space="preserve">, kde bude </w:t>
      </w:r>
      <w:r w:rsidR="002A693A">
        <w:t xml:space="preserve">umiestnená jedna PB fľaša s regulačným zariadením s výstupom 5 kPa a max. pretokom 1,5 kg/h PB. </w:t>
      </w:r>
      <w:r w:rsidR="00050DF1">
        <w:t>Skrinka</w:t>
      </w:r>
      <w:r w:rsidR="002A693A">
        <w:t xml:space="preserve"> je navrhovaná o rozmeroch </w:t>
      </w:r>
      <w:r w:rsidR="00050DF1">
        <w:t>5</w:t>
      </w:r>
      <w:r w:rsidR="002A693A">
        <w:t xml:space="preserve">00 x </w:t>
      </w:r>
      <w:r w:rsidR="00050DF1">
        <w:t>7</w:t>
      </w:r>
      <w:r w:rsidR="002A693A">
        <w:t>00</w:t>
      </w:r>
      <w:r w:rsidR="00050DF1">
        <w:t xml:space="preserve"> x</w:t>
      </w:r>
      <w:r w:rsidR="002A693A">
        <w:t xml:space="preserve"> </w:t>
      </w:r>
      <w:r w:rsidR="00050DF1">
        <w:t>1100</w:t>
      </w:r>
      <w:r w:rsidR="002A693A">
        <w:t>mm. V </w:t>
      </w:r>
      <w:r w:rsidR="00050DF1">
        <w:t>skrinke</w:t>
      </w:r>
      <w:r w:rsidR="002A693A">
        <w:t xml:space="preserve"> bude uložená PB fľaša</w:t>
      </w:r>
      <w:r w:rsidR="00006A8D">
        <w:t xml:space="preserve">, napojená na regulátor, rozvod </w:t>
      </w:r>
      <w:r w:rsidR="00050DF1">
        <w:t>je</w:t>
      </w:r>
      <w:r w:rsidR="00006A8D">
        <w:t xml:space="preserve"> uchytený na stene v rozoberateľných úchytoch, na rozvode bude inštalovaný havarijný ventil LEV-H-15 a rozvod za havarijným ventilom bude vedený k podlahe. V miestnosti bude umiestnený max. 15 cm nad podlahou detektor úniku plynu, ktorý bude signalizovať plyn v miestnosti. Miestnosť je potrebné vetrať prepojením miestnosti s vonkajším prostredím otvorom priemeru 150 mm tesne nad podlahou. Na konci otvoru inštalujete ochrannú mriežku. Dvere voľte široké </w:t>
      </w:r>
      <w:r w:rsidR="00050DF1">
        <w:t>600</w:t>
      </w:r>
      <w:r w:rsidR="00006A8D">
        <w:t xml:space="preserve"> mm so zvýšeným prahom 150 až 200 mm. Dvere sa budú otvárať von </w:t>
      </w:r>
      <w:r w:rsidR="00050DF1">
        <w:t>zo skrinky a</w:t>
      </w:r>
      <w:r w:rsidR="00006A8D">
        <w:t> </w:t>
      </w:r>
      <w:proofErr w:type="spellStart"/>
      <w:r w:rsidR="00006A8D">
        <w:t>nebud</w:t>
      </w:r>
      <w:r w:rsidR="00050DF1">
        <w:t>u</w:t>
      </w:r>
      <w:proofErr w:type="spellEnd"/>
      <w:r w:rsidR="00006A8D">
        <w:t xml:space="preserve"> tesné, aby prípadne</w:t>
      </w:r>
      <w:r w:rsidR="00750C4A">
        <w:t xml:space="preserve"> uniknutý PB vytláčal prievan mimo budovu. Na dvere inštalujte samozatvárací mechanizmus.</w:t>
      </w:r>
    </w:p>
    <w:p w14:paraId="6305309D" w14:textId="3F3AF584" w:rsidR="00750C4A" w:rsidRDefault="00750C4A" w:rsidP="00050DF1">
      <w:pPr>
        <w:ind w:firstLine="708"/>
        <w:jc w:val="both"/>
      </w:pPr>
      <w:r>
        <w:t xml:space="preserve">V miestnosti laboratórium </w:t>
      </w:r>
      <w:r w:rsidR="00050DF1">
        <w:t>j</w:t>
      </w:r>
      <w:r>
        <w:t xml:space="preserve">e rozvod PB vedený </w:t>
      </w:r>
      <w:r w:rsidR="00050DF1">
        <w:t>pod stropom</w:t>
      </w:r>
      <w:r>
        <w:t xml:space="preserve">. V miestnosti </w:t>
      </w:r>
      <w:r w:rsidR="00050DF1">
        <w:t>sú</w:t>
      </w:r>
      <w:r>
        <w:t xml:space="preserve"> umiestnené </w:t>
      </w:r>
      <w:r w:rsidR="00050DF1">
        <w:t>5</w:t>
      </w:r>
      <w:r>
        <w:t xml:space="preserve"> pracovné stoly a na každom budú umiestnené štyri horáky. Do každého stola zospodu bude vyvedený rozvod a bude ukončený uzatváracím ventilom. </w:t>
      </w:r>
    </w:p>
    <w:p w14:paraId="5926E088" w14:textId="77777777" w:rsidR="00750C4A" w:rsidRDefault="00750C4A" w:rsidP="007055AB">
      <w:pPr>
        <w:ind w:firstLine="708"/>
        <w:jc w:val="both"/>
      </w:pPr>
      <w:r>
        <w:t>V priestore laboratória bude spaľovaný PB a preto treba do priestoru priviesť vzduch na horenie a na dýchanie. Zároveň je potrebné odviesť spaliny mimo miestnosť. Návrh vetrania a odvodu spalín je nasledovný.</w:t>
      </w:r>
    </w:p>
    <w:p w14:paraId="75395A9D" w14:textId="77777777" w:rsidR="00050DF1" w:rsidRDefault="00750C4A" w:rsidP="00050DF1">
      <w:pPr>
        <w:ind w:firstLine="708"/>
        <w:jc w:val="both"/>
      </w:pPr>
      <w:r>
        <w:t xml:space="preserve">Odsávanie vzduchu je možné digestorom. Prívod vzduchu bude z vonkajšej strany budovy pri podlahe otvorom </w:t>
      </w:r>
      <w:r w:rsidR="00050DF1">
        <w:t>20</w:t>
      </w:r>
      <w:r>
        <w:t xml:space="preserve"> x </w:t>
      </w:r>
      <w:r w:rsidR="00050DF1">
        <w:t>2</w:t>
      </w:r>
      <w:r>
        <w:t xml:space="preserve">0 cm – viď. výkres č. </w:t>
      </w:r>
      <w:r w:rsidR="00050DF1">
        <w:t>1</w:t>
      </w:r>
      <w:r>
        <w:t xml:space="preserve">. </w:t>
      </w:r>
      <w:r w:rsidR="00050DF1">
        <w:t>Odvod spalín z horáka bude realizovaný cez ventilátorový otvor, kedy nepracuje ventilátor. Otvor je umiestnení v dvoch oknách laboratória.</w:t>
      </w:r>
    </w:p>
    <w:p w14:paraId="4380B805" w14:textId="34563FC2" w:rsidR="00750C4A" w:rsidRDefault="00750C4A" w:rsidP="007055AB">
      <w:pPr>
        <w:ind w:firstLine="708"/>
        <w:jc w:val="both"/>
      </w:pPr>
    </w:p>
    <w:p w14:paraId="754042FF" w14:textId="77777777" w:rsidR="00050DF1" w:rsidRDefault="00050DF1" w:rsidP="00050DF1">
      <w:pPr>
        <w:ind w:firstLine="708"/>
        <w:jc w:val="both"/>
      </w:pPr>
      <w:r>
        <w:t xml:space="preserve">V laboratóriu, pri 3 stoloch budú max. výška 15 cm od podlahy namontované 3x detektory úniku plynu HESTIA. Pri úniku plynu detektor uzavrie havarijný elektromagnetický ventil pri PB fľaši </w:t>
      </w:r>
      <w:r>
        <w:lastRenderedPageBreak/>
        <w:t>a spustí ventilátor do chodu, ktorý bude tlačiť vzduch do miestnosti laboratória a vytláčať uniknutý PB otvorom 20 x 20 cm pri podlahe do okolitého priestoru.</w:t>
      </w:r>
    </w:p>
    <w:p w14:paraId="410BCA5B" w14:textId="77777777" w:rsidR="00EA4517" w:rsidRDefault="00EA4517" w:rsidP="007055AB">
      <w:pPr>
        <w:ind w:firstLine="708"/>
        <w:jc w:val="both"/>
      </w:pPr>
      <w:r>
        <w:t xml:space="preserve">Vstupné dvere do laboratória sa musia otvárať smerom von z miestnosti a musí byť na nich osadený samozatvárací mechanizmus. </w:t>
      </w:r>
    </w:p>
    <w:p w14:paraId="7C5EC9B1" w14:textId="77777777" w:rsidR="00EA4517" w:rsidRDefault="00EA4517" w:rsidP="007055AB">
      <w:pPr>
        <w:ind w:firstLine="708"/>
        <w:jc w:val="both"/>
        <w:rPr>
          <w:b/>
          <w:bCs/>
        </w:rPr>
      </w:pPr>
      <w:r w:rsidRPr="00EA4517">
        <w:rPr>
          <w:b/>
          <w:bCs/>
        </w:rPr>
        <w:t>Napojené spotrebiče:</w:t>
      </w:r>
    </w:p>
    <w:p w14:paraId="5B6C73D3" w14:textId="512825D3" w:rsidR="00EA4517" w:rsidRDefault="00EA4517" w:rsidP="007055AB">
      <w:pPr>
        <w:ind w:firstLine="708"/>
        <w:jc w:val="both"/>
      </w:pPr>
      <w:r w:rsidRPr="00EA4517">
        <w:t>V</w:t>
      </w:r>
      <w:r>
        <w:t> </w:t>
      </w:r>
      <w:r w:rsidRPr="00EA4517">
        <w:t>mie</w:t>
      </w:r>
      <w:r>
        <w:t xml:space="preserve">stnosti laboratórium budú umiestnené laboratórne plynové Bunsenové horáky v počte </w:t>
      </w:r>
      <w:r w:rsidR="00050DF1">
        <w:t>5</w:t>
      </w:r>
      <w:r>
        <w:t xml:space="preserve"> ks. Výkon jedného horáka je deklarovaný 0,7 kW.</w:t>
      </w:r>
    </w:p>
    <w:p w14:paraId="6AA44E7A" w14:textId="7ABAC187" w:rsidR="00EA4517" w:rsidRDefault="00EA4517" w:rsidP="007055AB">
      <w:pPr>
        <w:ind w:firstLine="708"/>
        <w:jc w:val="both"/>
      </w:pPr>
      <w:r>
        <w:t xml:space="preserve">Spolu je maximálny výkon </w:t>
      </w:r>
      <w:r w:rsidR="00050DF1">
        <w:t>5</w:t>
      </w:r>
      <w:r>
        <w:t xml:space="preserve"> ks horákov </w:t>
      </w:r>
      <w:r w:rsidR="00050DF1">
        <w:t>3,5</w:t>
      </w:r>
      <w:r>
        <w:t>kW</w:t>
      </w:r>
      <w:r w:rsidR="00050DF1">
        <w:t xml:space="preserve"> 0,283</w:t>
      </w:r>
    </w:p>
    <w:p w14:paraId="3C637C95" w14:textId="4BAABDF0" w:rsidR="00EA4517" w:rsidRDefault="00EA4517" w:rsidP="007055AB">
      <w:pPr>
        <w:ind w:firstLine="708"/>
        <w:jc w:val="both"/>
      </w:pPr>
      <w:r>
        <w:t xml:space="preserve">Výkon </w:t>
      </w:r>
      <w:r w:rsidR="00050DF1">
        <w:t>3,5</w:t>
      </w:r>
      <w:r>
        <w:t xml:space="preserve"> kW = 0,</w:t>
      </w:r>
      <w:r w:rsidR="00050DF1">
        <w:t>28</w:t>
      </w:r>
      <w:r>
        <w:t xml:space="preserve"> kg/h PB = 0,</w:t>
      </w:r>
      <w:r w:rsidR="00050DF1">
        <w:t>144</w:t>
      </w:r>
      <w:r>
        <w:t xml:space="preserve"> m</w:t>
      </w:r>
      <w:r w:rsidRPr="00EA4517">
        <w:rPr>
          <w:vertAlign w:val="superscript"/>
        </w:rPr>
        <w:t>3</w:t>
      </w:r>
      <w:r>
        <w:t>/h PB.</w:t>
      </w:r>
    </w:p>
    <w:p w14:paraId="70457B39" w14:textId="34952E26" w:rsidR="00050DF1" w:rsidRDefault="00050DF1" w:rsidP="007055AB">
      <w:pPr>
        <w:ind w:firstLine="708"/>
        <w:jc w:val="both"/>
      </w:pPr>
    </w:p>
    <w:p w14:paraId="5A1825C5" w14:textId="6B6DD8B8" w:rsidR="00050DF1" w:rsidRDefault="00050DF1" w:rsidP="007055AB">
      <w:pPr>
        <w:ind w:firstLine="708"/>
        <w:jc w:val="both"/>
      </w:pPr>
    </w:p>
    <w:p w14:paraId="70200918" w14:textId="1809E079" w:rsidR="00050DF1" w:rsidRDefault="00050DF1" w:rsidP="007055AB">
      <w:pPr>
        <w:ind w:firstLine="708"/>
        <w:jc w:val="both"/>
      </w:pPr>
    </w:p>
    <w:p w14:paraId="4DF53415" w14:textId="6FCF1C6A" w:rsidR="00050DF1" w:rsidRDefault="00050DF1" w:rsidP="007055AB">
      <w:pPr>
        <w:ind w:firstLine="708"/>
        <w:jc w:val="both"/>
      </w:pPr>
    </w:p>
    <w:p w14:paraId="778200FF" w14:textId="516D2574" w:rsidR="003003C4" w:rsidRDefault="003003C4" w:rsidP="007055AB">
      <w:pPr>
        <w:ind w:firstLine="708"/>
        <w:jc w:val="both"/>
      </w:pPr>
    </w:p>
    <w:p w14:paraId="6342C5DB" w14:textId="13AD3FEC" w:rsidR="003003C4" w:rsidRDefault="003003C4" w:rsidP="007055AB">
      <w:pPr>
        <w:ind w:firstLine="708"/>
        <w:jc w:val="both"/>
      </w:pPr>
    </w:p>
    <w:p w14:paraId="787A00A5" w14:textId="7B77B7D1" w:rsidR="003003C4" w:rsidRDefault="003003C4" w:rsidP="007055AB">
      <w:pPr>
        <w:ind w:firstLine="708"/>
        <w:jc w:val="both"/>
      </w:pPr>
    </w:p>
    <w:p w14:paraId="3AD3D31F" w14:textId="6B573263" w:rsidR="003003C4" w:rsidRDefault="003003C4" w:rsidP="007055AB">
      <w:pPr>
        <w:ind w:firstLine="708"/>
        <w:jc w:val="both"/>
      </w:pPr>
    </w:p>
    <w:p w14:paraId="0B34EFE9" w14:textId="08E47F83" w:rsidR="003003C4" w:rsidRDefault="003003C4" w:rsidP="007055AB">
      <w:pPr>
        <w:ind w:firstLine="708"/>
        <w:jc w:val="both"/>
      </w:pPr>
    </w:p>
    <w:p w14:paraId="40FC6B1A" w14:textId="2EA5AC39" w:rsidR="003003C4" w:rsidRDefault="003003C4" w:rsidP="007055AB">
      <w:pPr>
        <w:ind w:firstLine="708"/>
        <w:jc w:val="both"/>
      </w:pPr>
    </w:p>
    <w:p w14:paraId="24CCD024" w14:textId="6059A8DA" w:rsidR="003003C4" w:rsidRDefault="003003C4" w:rsidP="007055AB">
      <w:pPr>
        <w:ind w:firstLine="708"/>
        <w:jc w:val="both"/>
      </w:pPr>
    </w:p>
    <w:p w14:paraId="6AAFA0BD" w14:textId="77777777" w:rsidR="003003C4" w:rsidRDefault="003003C4" w:rsidP="007055AB">
      <w:pPr>
        <w:ind w:firstLine="708"/>
        <w:jc w:val="both"/>
      </w:pPr>
    </w:p>
    <w:p w14:paraId="5BAC01FE" w14:textId="70D55B1E" w:rsidR="00050DF1" w:rsidRDefault="00050DF1" w:rsidP="007055AB">
      <w:pPr>
        <w:ind w:firstLine="708"/>
        <w:jc w:val="both"/>
      </w:pPr>
    </w:p>
    <w:p w14:paraId="441572AD" w14:textId="2757D690" w:rsidR="00050DF1" w:rsidRPr="00EA4517" w:rsidRDefault="00050DF1" w:rsidP="007055AB">
      <w:pPr>
        <w:ind w:firstLine="708"/>
        <w:jc w:val="both"/>
      </w:pPr>
      <w:r>
        <w:t xml:space="preserve">V Bratislava </w:t>
      </w:r>
      <w:r w:rsidR="003003C4">
        <w:t xml:space="preserve">07/2020 </w:t>
      </w:r>
      <w:r w:rsidR="003003C4">
        <w:tab/>
      </w:r>
      <w:r w:rsidR="003003C4">
        <w:tab/>
      </w:r>
      <w:r w:rsidR="003003C4">
        <w:tab/>
      </w:r>
      <w:r w:rsidR="003003C4">
        <w:tab/>
      </w:r>
      <w:r w:rsidR="003003C4">
        <w:tab/>
      </w:r>
      <w:r w:rsidR="003003C4">
        <w:tab/>
        <w:t>vypracoval: Ing. Ivan Novotný</w:t>
      </w:r>
    </w:p>
    <w:sectPr w:rsidR="00050DF1" w:rsidRPr="00EA4517" w:rsidSect="000A7C9F">
      <w:type w:val="continuous"/>
      <w:pgSz w:w="11907" w:h="16839" w:code="9"/>
      <w:pgMar w:top="1417" w:right="1417" w:bottom="1417" w:left="1417" w:header="51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C5701"/>
    <w:multiLevelType w:val="hybridMultilevel"/>
    <w:tmpl w:val="349E20B2"/>
    <w:lvl w:ilvl="0" w:tplc="08749BB2">
      <w:start w:val="1"/>
      <w:numFmt w:val="decimal"/>
      <w:pStyle w:val="tl2"/>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7D53401"/>
    <w:multiLevelType w:val="multilevel"/>
    <w:tmpl w:val="8BFCEBB4"/>
    <w:lvl w:ilvl="0">
      <w:start w:val="1"/>
      <w:numFmt w:val="decimal"/>
      <w:pStyle w:val="BcNadpis1"/>
      <w:lvlText w:val="%1."/>
      <w:lvlJc w:val="left"/>
      <w:pPr>
        <w:ind w:left="0" w:firstLine="0"/>
      </w:pPr>
      <w:rPr>
        <w:rFonts w:hint="default"/>
      </w:rPr>
    </w:lvl>
    <w:lvl w:ilvl="1">
      <w:start w:val="1"/>
      <w:numFmt w:val="decimal"/>
      <w:pStyle w:val="BcNadpis2"/>
      <w:suff w:val="space"/>
      <w:lvlText w:val="%1.%2"/>
      <w:lvlJc w:val="left"/>
      <w:pPr>
        <w:ind w:left="0" w:firstLine="0"/>
      </w:pPr>
      <w:rPr>
        <w:rFonts w:hint="default"/>
      </w:rPr>
    </w:lvl>
    <w:lvl w:ilvl="2">
      <w:start w:val="1"/>
      <w:numFmt w:val="decimal"/>
      <w:pStyle w:val="BcNadpis3"/>
      <w:suff w:val="space"/>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7D14DD5"/>
    <w:multiLevelType w:val="multilevel"/>
    <w:tmpl w:val="48926B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num>
  <w:num w:numId="3">
    <w:abstractNumId w:val="1"/>
  </w:num>
  <w:num w:numId="4">
    <w:abstractNumId w:val="0"/>
  </w:num>
  <w:num w:numId="5">
    <w:abstractNumId w:val="1"/>
  </w:num>
  <w:num w:numId="6">
    <w:abstractNumId w:val="1"/>
  </w:num>
  <w:num w:numId="7">
    <w:abstractNumId w:val="1"/>
  </w:num>
  <w:num w:numId="8">
    <w:abstractNumId w:val="0"/>
  </w:num>
  <w:num w:numId="9">
    <w:abstractNumId w:val="1"/>
  </w:num>
  <w:num w:numId="10">
    <w:abstractNumId w:val="1"/>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CB"/>
    <w:rsid w:val="00006A8D"/>
    <w:rsid w:val="000165C4"/>
    <w:rsid w:val="00045949"/>
    <w:rsid w:val="00050DF1"/>
    <w:rsid w:val="000A7C9F"/>
    <w:rsid w:val="00111B0C"/>
    <w:rsid w:val="001121A7"/>
    <w:rsid w:val="001431A4"/>
    <w:rsid w:val="001633A2"/>
    <w:rsid w:val="001B48D1"/>
    <w:rsid w:val="001F21FE"/>
    <w:rsid w:val="001F2A23"/>
    <w:rsid w:val="00226F0F"/>
    <w:rsid w:val="00231AFC"/>
    <w:rsid w:val="00291B5A"/>
    <w:rsid w:val="002A693A"/>
    <w:rsid w:val="003003C4"/>
    <w:rsid w:val="00311958"/>
    <w:rsid w:val="00314B18"/>
    <w:rsid w:val="00342204"/>
    <w:rsid w:val="003607DD"/>
    <w:rsid w:val="003A3DEB"/>
    <w:rsid w:val="003A7C0A"/>
    <w:rsid w:val="00462110"/>
    <w:rsid w:val="00483117"/>
    <w:rsid w:val="00517A5F"/>
    <w:rsid w:val="0059618F"/>
    <w:rsid w:val="005973F7"/>
    <w:rsid w:val="005B1339"/>
    <w:rsid w:val="005B720F"/>
    <w:rsid w:val="005E346A"/>
    <w:rsid w:val="006564C3"/>
    <w:rsid w:val="00661378"/>
    <w:rsid w:val="00676D9B"/>
    <w:rsid w:val="0069434A"/>
    <w:rsid w:val="006F6CEA"/>
    <w:rsid w:val="007055AB"/>
    <w:rsid w:val="007139BE"/>
    <w:rsid w:val="00714703"/>
    <w:rsid w:val="00716AAC"/>
    <w:rsid w:val="00750C4A"/>
    <w:rsid w:val="007E53FB"/>
    <w:rsid w:val="007F2959"/>
    <w:rsid w:val="008363E4"/>
    <w:rsid w:val="00922CFE"/>
    <w:rsid w:val="0093497C"/>
    <w:rsid w:val="009950D8"/>
    <w:rsid w:val="009A2968"/>
    <w:rsid w:val="00A06BC9"/>
    <w:rsid w:val="00A3064A"/>
    <w:rsid w:val="00A74D07"/>
    <w:rsid w:val="00AF450F"/>
    <w:rsid w:val="00B026B0"/>
    <w:rsid w:val="00B35271"/>
    <w:rsid w:val="00C34C08"/>
    <w:rsid w:val="00C37BD0"/>
    <w:rsid w:val="00CF0621"/>
    <w:rsid w:val="00D24AC0"/>
    <w:rsid w:val="00D4235B"/>
    <w:rsid w:val="00D7719F"/>
    <w:rsid w:val="00D8100C"/>
    <w:rsid w:val="00DB06CB"/>
    <w:rsid w:val="00DD7A24"/>
    <w:rsid w:val="00E15F08"/>
    <w:rsid w:val="00E20D86"/>
    <w:rsid w:val="00EA4517"/>
    <w:rsid w:val="00EA65FF"/>
    <w:rsid w:val="00F3349E"/>
    <w:rsid w:val="00F47391"/>
    <w:rsid w:val="00F534FF"/>
    <w:rsid w:val="00F55CC3"/>
    <w:rsid w:val="00F76F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2B2D"/>
  <w15:chartTrackingRefBased/>
  <w15:docId w15:val="{D931B613-5AFC-4F3F-B674-117CE0D5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363E4"/>
  </w:style>
  <w:style w:type="paragraph" w:styleId="Nadpis1">
    <w:name w:val="heading 1"/>
    <w:basedOn w:val="Normlny"/>
    <w:next w:val="Normlny"/>
    <w:link w:val="Nadpis1Char"/>
    <w:uiPriority w:val="9"/>
    <w:qFormat/>
    <w:rsid w:val="008363E4"/>
    <w:pPr>
      <w:spacing w:after="0" w:line="360" w:lineRule="auto"/>
      <w:outlineLvl w:val="0"/>
    </w:pPr>
    <w:rPr>
      <w:rFonts w:ascii="Times New Roman" w:hAnsi="Times New Roman" w:cstheme="majorBidi"/>
      <w:b/>
      <w:color w:val="000000" w:themeColor="text1"/>
      <w:sz w:val="32"/>
    </w:rPr>
  </w:style>
  <w:style w:type="paragraph" w:styleId="Nadpis2">
    <w:name w:val="heading 2"/>
    <w:basedOn w:val="Normlny"/>
    <w:next w:val="Normlny"/>
    <w:link w:val="Nadpis2Char"/>
    <w:uiPriority w:val="9"/>
    <w:unhideWhenUsed/>
    <w:qFormat/>
    <w:rsid w:val="008363E4"/>
    <w:pPr>
      <w:spacing w:after="0" w:line="360" w:lineRule="auto"/>
      <w:outlineLvl w:val="1"/>
    </w:pPr>
    <w:rPr>
      <w:rFonts w:ascii="Times New Roman" w:hAnsi="Times New Roman" w:cstheme="majorBidi"/>
      <w:b/>
      <w:color w:val="000000" w:themeColor="text1"/>
      <w:sz w:val="28"/>
    </w:rPr>
  </w:style>
  <w:style w:type="paragraph" w:styleId="Nadpis3">
    <w:name w:val="heading 3"/>
    <w:basedOn w:val="Normlny"/>
    <w:next w:val="Normlny"/>
    <w:link w:val="Nadpis3Char"/>
    <w:uiPriority w:val="9"/>
    <w:unhideWhenUsed/>
    <w:qFormat/>
    <w:rsid w:val="008363E4"/>
    <w:pPr>
      <w:spacing w:after="0" w:line="360" w:lineRule="auto"/>
      <w:outlineLvl w:val="2"/>
    </w:pPr>
    <w:rPr>
      <w:rFonts w:ascii="Times New Roman" w:hAnsi="Times New Roman" w:cstheme="majorBidi"/>
      <w:i/>
      <w:color w:val="000000" w:themeColor="text1"/>
      <w:sz w:val="28"/>
    </w:rPr>
  </w:style>
  <w:style w:type="paragraph" w:styleId="Nadpis4">
    <w:name w:val="heading 4"/>
    <w:basedOn w:val="Normlny"/>
    <w:next w:val="Normlny"/>
    <w:link w:val="Nadpis4Char"/>
    <w:uiPriority w:val="9"/>
    <w:semiHidden/>
    <w:unhideWhenUsed/>
    <w:qFormat/>
    <w:rsid w:val="008363E4"/>
    <w:pPr>
      <w:keepNext/>
      <w:keepLines/>
      <w:spacing w:before="200" w:after="0"/>
      <w:outlineLvl w:val="3"/>
    </w:pPr>
    <w:rPr>
      <w:rFonts w:asciiTheme="majorHAnsi" w:eastAsiaTheme="majorEastAsia" w:hAnsiTheme="majorHAnsi" w:cstheme="majorBidi"/>
      <w:b/>
      <w:bCs/>
      <w:i/>
      <w:iCs/>
      <w:color w:val="4472C4" w:themeColor="accent1"/>
    </w:rPr>
  </w:style>
  <w:style w:type="paragraph" w:styleId="Nadpis5">
    <w:name w:val="heading 5"/>
    <w:basedOn w:val="Normlny"/>
    <w:next w:val="Normlny"/>
    <w:link w:val="Nadpis5Char"/>
    <w:uiPriority w:val="9"/>
    <w:semiHidden/>
    <w:unhideWhenUsed/>
    <w:qFormat/>
    <w:rsid w:val="008363E4"/>
    <w:pPr>
      <w:keepNext/>
      <w:keepLines/>
      <w:spacing w:before="200" w:after="0"/>
      <w:outlineLvl w:val="4"/>
    </w:pPr>
    <w:rPr>
      <w:rFonts w:asciiTheme="majorHAnsi" w:eastAsiaTheme="majorEastAsia" w:hAnsiTheme="majorHAnsi" w:cstheme="majorBidi"/>
      <w:color w:val="1F3763" w:themeColor="accent1" w:themeShade="7F"/>
    </w:rPr>
  </w:style>
  <w:style w:type="paragraph" w:styleId="Nadpis6">
    <w:name w:val="heading 6"/>
    <w:basedOn w:val="Normlny"/>
    <w:next w:val="Normlny"/>
    <w:link w:val="Nadpis6Char"/>
    <w:uiPriority w:val="9"/>
    <w:semiHidden/>
    <w:unhideWhenUsed/>
    <w:qFormat/>
    <w:rsid w:val="008363E4"/>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Nadpis7">
    <w:name w:val="heading 7"/>
    <w:basedOn w:val="Normlny"/>
    <w:next w:val="Normlny"/>
    <w:link w:val="Nadpis7Char"/>
    <w:uiPriority w:val="9"/>
    <w:semiHidden/>
    <w:unhideWhenUsed/>
    <w:qFormat/>
    <w:rsid w:val="008363E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8363E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8363E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363E4"/>
    <w:rPr>
      <w:rFonts w:ascii="Times New Roman" w:hAnsi="Times New Roman" w:cstheme="majorBidi"/>
      <w:b/>
      <w:color w:val="000000" w:themeColor="text1"/>
      <w:sz w:val="32"/>
    </w:rPr>
  </w:style>
  <w:style w:type="character" w:customStyle="1" w:styleId="Nadpis2Char">
    <w:name w:val="Nadpis 2 Char"/>
    <w:basedOn w:val="Predvolenpsmoodseku"/>
    <w:link w:val="Nadpis2"/>
    <w:uiPriority w:val="9"/>
    <w:rsid w:val="008363E4"/>
    <w:rPr>
      <w:rFonts w:ascii="Times New Roman" w:hAnsi="Times New Roman" w:cstheme="majorBidi"/>
      <w:b/>
      <w:color w:val="000000" w:themeColor="text1"/>
      <w:sz w:val="28"/>
    </w:rPr>
  </w:style>
  <w:style w:type="character" w:customStyle="1" w:styleId="Nadpis3Char">
    <w:name w:val="Nadpis 3 Char"/>
    <w:basedOn w:val="Predvolenpsmoodseku"/>
    <w:link w:val="Nadpis3"/>
    <w:uiPriority w:val="9"/>
    <w:rsid w:val="008363E4"/>
    <w:rPr>
      <w:rFonts w:ascii="Times New Roman" w:hAnsi="Times New Roman" w:cstheme="majorBidi"/>
      <w:i/>
      <w:color w:val="000000" w:themeColor="text1"/>
      <w:sz w:val="28"/>
    </w:rPr>
  </w:style>
  <w:style w:type="paragraph" w:styleId="Popis">
    <w:name w:val="caption"/>
    <w:basedOn w:val="Normlny"/>
    <w:next w:val="Normlny"/>
    <w:uiPriority w:val="35"/>
    <w:unhideWhenUsed/>
    <w:qFormat/>
    <w:rsid w:val="008363E4"/>
    <w:pPr>
      <w:spacing w:after="200" w:line="240" w:lineRule="auto"/>
    </w:pPr>
    <w:rPr>
      <w:i/>
      <w:iCs/>
      <w:color w:val="44546A" w:themeColor="text2"/>
      <w:sz w:val="18"/>
      <w:szCs w:val="18"/>
    </w:rPr>
  </w:style>
  <w:style w:type="paragraph" w:styleId="Zkladntext">
    <w:name w:val="Body Text"/>
    <w:basedOn w:val="Normlny"/>
    <w:link w:val="ZkladntextChar"/>
    <w:uiPriority w:val="1"/>
    <w:qFormat/>
    <w:rsid w:val="008363E4"/>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ZkladntextChar">
    <w:name w:val="Základný text Char"/>
    <w:basedOn w:val="Predvolenpsmoodseku"/>
    <w:link w:val="Zkladntext"/>
    <w:uiPriority w:val="1"/>
    <w:rsid w:val="008363E4"/>
    <w:rPr>
      <w:rFonts w:ascii="Times New Roman" w:eastAsia="Times New Roman" w:hAnsi="Times New Roman" w:cs="Times New Roman"/>
      <w:sz w:val="24"/>
      <w:szCs w:val="24"/>
      <w:lang w:val="en-US"/>
    </w:rPr>
  </w:style>
  <w:style w:type="paragraph" w:styleId="Odsekzoznamu">
    <w:name w:val="List Paragraph"/>
    <w:basedOn w:val="Normlny"/>
    <w:uiPriority w:val="34"/>
    <w:qFormat/>
    <w:rsid w:val="008363E4"/>
    <w:pPr>
      <w:ind w:left="720"/>
      <w:contextualSpacing/>
    </w:pPr>
  </w:style>
  <w:style w:type="paragraph" w:styleId="Hlavikaobsahu">
    <w:name w:val="TOC Heading"/>
    <w:basedOn w:val="Nadpis1"/>
    <w:next w:val="Normlny"/>
    <w:uiPriority w:val="39"/>
    <w:unhideWhenUsed/>
    <w:qFormat/>
    <w:rsid w:val="008363E4"/>
    <w:pPr>
      <w:keepNext/>
      <w:keepLines/>
      <w:spacing w:before="240" w:line="259" w:lineRule="auto"/>
      <w:outlineLvl w:val="9"/>
    </w:pPr>
    <w:rPr>
      <w:rFonts w:asciiTheme="majorHAnsi" w:eastAsiaTheme="majorEastAsia" w:hAnsiTheme="majorHAnsi"/>
      <w:b w:val="0"/>
      <w:color w:val="2F5496" w:themeColor="accent1" w:themeShade="BF"/>
      <w:szCs w:val="32"/>
      <w:lang w:eastAsia="sk-SK"/>
    </w:rPr>
  </w:style>
  <w:style w:type="paragraph" w:customStyle="1" w:styleId="tl2">
    <w:name w:val="Štýl2"/>
    <w:basedOn w:val="Odsekzoznamu"/>
    <w:qFormat/>
    <w:rsid w:val="008363E4"/>
    <w:pPr>
      <w:numPr>
        <w:numId w:val="8"/>
      </w:numPr>
      <w:spacing w:after="200" w:line="360" w:lineRule="auto"/>
      <w:jc w:val="both"/>
    </w:pPr>
    <w:rPr>
      <w:rFonts w:ascii="Times New Roman" w:hAnsi="Times New Roman" w:cs="Times New Roman"/>
      <w:b/>
      <w:sz w:val="28"/>
      <w:szCs w:val="28"/>
    </w:rPr>
  </w:style>
  <w:style w:type="paragraph" w:customStyle="1" w:styleId="BcText">
    <w:name w:val="Bc. Text"/>
    <w:basedOn w:val="Normlny"/>
    <w:qFormat/>
    <w:rsid w:val="008363E4"/>
    <w:pPr>
      <w:spacing w:line="360" w:lineRule="auto"/>
    </w:pPr>
    <w:rPr>
      <w:rFonts w:ascii="Times New Roman" w:hAnsi="Times New Roman" w:cs="Times New Roman"/>
      <w:color w:val="000000" w:themeColor="text1"/>
      <w:sz w:val="24"/>
    </w:rPr>
  </w:style>
  <w:style w:type="paragraph" w:customStyle="1" w:styleId="BcNadpis1">
    <w:name w:val="Bc. Nadpis 1"/>
    <w:basedOn w:val="BcText"/>
    <w:qFormat/>
    <w:rsid w:val="008363E4"/>
    <w:pPr>
      <w:numPr>
        <w:numId w:val="11"/>
      </w:numPr>
      <w:spacing w:after="0"/>
    </w:pPr>
    <w:rPr>
      <w:b/>
      <w:sz w:val="32"/>
    </w:rPr>
  </w:style>
  <w:style w:type="paragraph" w:customStyle="1" w:styleId="BcNadpis2">
    <w:name w:val="Bc. Nadpis 2"/>
    <w:basedOn w:val="BcNadpis1"/>
    <w:qFormat/>
    <w:rsid w:val="008363E4"/>
    <w:pPr>
      <w:numPr>
        <w:ilvl w:val="1"/>
      </w:numPr>
    </w:pPr>
    <w:rPr>
      <w:sz w:val="28"/>
    </w:rPr>
  </w:style>
  <w:style w:type="paragraph" w:customStyle="1" w:styleId="BcNadpis3">
    <w:name w:val="Bc. Nadpis 3"/>
    <w:basedOn w:val="BcNadpis2"/>
    <w:qFormat/>
    <w:rsid w:val="008363E4"/>
    <w:pPr>
      <w:numPr>
        <w:ilvl w:val="2"/>
      </w:numPr>
    </w:pPr>
    <w:rPr>
      <w:b w:val="0"/>
      <w:i/>
    </w:rPr>
  </w:style>
  <w:style w:type="character" w:customStyle="1" w:styleId="Nadpis4Char">
    <w:name w:val="Nadpis 4 Char"/>
    <w:basedOn w:val="Predvolenpsmoodseku"/>
    <w:link w:val="Nadpis4"/>
    <w:uiPriority w:val="9"/>
    <w:semiHidden/>
    <w:rsid w:val="008363E4"/>
    <w:rPr>
      <w:rFonts w:asciiTheme="majorHAnsi" w:eastAsiaTheme="majorEastAsia" w:hAnsiTheme="majorHAnsi" w:cstheme="majorBidi"/>
      <w:b/>
      <w:bCs/>
      <w:i/>
      <w:iCs/>
      <w:color w:val="4472C4" w:themeColor="accent1"/>
    </w:rPr>
  </w:style>
  <w:style w:type="character" w:customStyle="1" w:styleId="Nadpis5Char">
    <w:name w:val="Nadpis 5 Char"/>
    <w:basedOn w:val="Predvolenpsmoodseku"/>
    <w:link w:val="Nadpis5"/>
    <w:uiPriority w:val="9"/>
    <w:semiHidden/>
    <w:rsid w:val="008363E4"/>
    <w:rPr>
      <w:rFonts w:asciiTheme="majorHAnsi" w:eastAsiaTheme="majorEastAsia" w:hAnsiTheme="majorHAnsi" w:cstheme="majorBidi"/>
      <w:color w:val="1F3763" w:themeColor="accent1" w:themeShade="7F"/>
    </w:rPr>
  </w:style>
  <w:style w:type="character" w:customStyle="1" w:styleId="Nadpis6Char">
    <w:name w:val="Nadpis 6 Char"/>
    <w:basedOn w:val="Predvolenpsmoodseku"/>
    <w:link w:val="Nadpis6"/>
    <w:uiPriority w:val="9"/>
    <w:semiHidden/>
    <w:rsid w:val="008363E4"/>
    <w:rPr>
      <w:rFonts w:asciiTheme="majorHAnsi" w:eastAsiaTheme="majorEastAsia" w:hAnsiTheme="majorHAnsi" w:cstheme="majorBidi"/>
      <w:i/>
      <w:iCs/>
      <w:color w:val="1F3763" w:themeColor="accent1" w:themeShade="7F"/>
    </w:rPr>
  </w:style>
  <w:style w:type="character" w:customStyle="1" w:styleId="Nadpis7Char">
    <w:name w:val="Nadpis 7 Char"/>
    <w:basedOn w:val="Predvolenpsmoodseku"/>
    <w:link w:val="Nadpis7"/>
    <w:uiPriority w:val="9"/>
    <w:semiHidden/>
    <w:rsid w:val="008363E4"/>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8363E4"/>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8363E4"/>
    <w:rPr>
      <w:rFonts w:asciiTheme="majorHAnsi" w:eastAsiaTheme="majorEastAsia" w:hAnsiTheme="majorHAnsi" w:cstheme="majorBidi"/>
      <w:i/>
      <w:iCs/>
      <w:color w:val="404040" w:themeColor="text1" w:themeTint="BF"/>
      <w:sz w:val="20"/>
      <w:szCs w:val="20"/>
    </w:rPr>
  </w:style>
  <w:style w:type="character" w:styleId="Vrazn">
    <w:name w:val="Strong"/>
    <w:basedOn w:val="Predvolenpsmoodseku"/>
    <w:uiPriority w:val="22"/>
    <w:qFormat/>
    <w:rsid w:val="008363E4"/>
    <w:rPr>
      <w:b/>
      <w:bCs/>
    </w:rPr>
  </w:style>
  <w:style w:type="character" w:styleId="Zvraznenie">
    <w:name w:val="Emphasis"/>
    <w:basedOn w:val="Predvolenpsmoodseku"/>
    <w:uiPriority w:val="20"/>
    <w:qFormat/>
    <w:rsid w:val="008363E4"/>
    <w:rPr>
      <w:i/>
      <w:iCs/>
    </w:rPr>
  </w:style>
  <w:style w:type="paragraph" w:styleId="Bezriadkovania">
    <w:name w:val="No Spacing"/>
    <w:uiPriority w:val="1"/>
    <w:qFormat/>
    <w:rsid w:val="008363E4"/>
    <w:pPr>
      <w:spacing w:after="0" w:line="240" w:lineRule="auto"/>
    </w:pPr>
  </w:style>
  <w:style w:type="table" w:styleId="Mriekatabuky">
    <w:name w:val="Table Grid"/>
    <w:basedOn w:val="Normlnatabuka"/>
    <w:uiPriority w:val="59"/>
    <w:rsid w:val="00E15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121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78162BAA5F8D4FA12A00051336F530" ma:contentTypeVersion="7" ma:contentTypeDescription="Create a new document." ma:contentTypeScope="" ma:versionID="ac37bd572873586445206d9526bea5ae">
  <xsd:schema xmlns:xsd="http://www.w3.org/2001/XMLSchema" xmlns:xs="http://www.w3.org/2001/XMLSchema" xmlns:p="http://schemas.microsoft.com/office/2006/metadata/properties" xmlns:ns3="5368ac2b-0f0b-44e3-ba56-57d296796576" xmlns:ns4="3d1b76e6-064e-42cf-95ff-6a40e49f8612" targetNamespace="http://schemas.microsoft.com/office/2006/metadata/properties" ma:root="true" ma:fieldsID="36bc0e620030651622bb0fed167da05d" ns3:_="" ns4:_="">
    <xsd:import namespace="5368ac2b-0f0b-44e3-ba56-57d296796576"/>
    <xsd:import namespace="3d1b76e6-064e-42cf-95ff-6a40e49f86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8ac2b-0f0b-44e3-ba56-57d2967965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1b76e6-064e-42cf-95ff-6a40e49f86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524B0A-E181-45D3-B5D8-15CAFB55E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68ac2b-0f0b-44e3-ba56-57d296796576"/>
    <ds:schemaRef ds:uri="3d1b76e6-064e-42cf-95ff-6a40e49f8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ED9B6E-9FD1-4AA3-BB47-32F6B2B24A91}">
  <ds:schemaRefs>
    <ds:schemaRef ds:uri="http://schemas.microsoft.com/sharepoint/v3/contenttype/forms"/>
  </ds:schemaRefs>
</ds:datastoreItem>
</file>

<file path=customXml/itemProps3.xml><?xml version="1.0" encoding="utf-8"?>
<ds:datastoreItem xmlns:ds="http://schemas.openxmlformats.org/officeDocument/2006/customXml" ds:itemID="{366CFF21-C5F8-4F96-B41A-0452E2885B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759</Words>
  <Characters>4329</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Kaniková</dc:creator>
  <cp:keywords/>
  <dc:description/>
  <cp:lastModifiedBy>Ivan Novotný</cp:lastModifiedBy>
  <cp:revision>3</cp:revision>
  <dcterms:created xsi:type="dcterms:W3CDTF">2020-07-06T10:57:00Z</dcterms:created>
  <dcterms:modified xsi:type="dcterms:W3CDTF">2020-07-11T19:33:00Z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0x010100AA78162BAA5F8D4FA12A00051336F530</vt:lpwstr>
  </property>
</Properties>
</file>